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2D7A7">
      <w:pPr>
        <w:bidi w:val="0"/>
        <w:ind w:left="0" w:leftChars="0" w:firstLine="0" w:firstLineChars="0"/>
        <w:jc w:val="center"/>
        <w:rPr>
          <w:rFonts w:hint="eastAsia"/>
          <w:b/>
          <w:bCs/>
          <w:sz w:val="32"/>
          <w:szCs w:val="32"/>
          <w:lang w:eastAsia="zh-CN"/>
        </w:rPr>
      </w:pPr>
      <w:r>
        <w:rPr>
          <w:rFonts w:hint="eastAsia"/>
          <w:b/>
          <w:bCs/>
          <w:sz w:val="32"/>
          <w:szCs w:val="32"/>
          <w:lang w:eastAsia="zh-CN"/>
        </w:rPr>
        <w:t>安徽凯诺德铝镁金属科技有限公司</w:t>
      </w:r>
    </w:p>
    <w:p w14:paraId="1441E3D3">
      <w:pPr>
        <w:bidi w:val="0"/>
        <w:ind w:left="0" w:leftChars="0" w:firstLine="0" w:firstLineChars="0"/>
        <w:jc w:val="center"/>
        <w:rPr>
          <w:rFonts w:hint="eastAsia"/>
          <w:b/>
          <w:bCs/>
          <w:sz w:val="32"/>
          <w:szCs w:val="32"/>
          <w:lang w:val="en-US" w:eastAsia="zh-CN"/>
        </w:rPr>
      </w:pPr>
      <w:r>
        <w:rPr>
          <w:rFonts w:hint="eastAsia"/>
          <w:b/>
          <w:bCs/>
          <w:sz w:val="32"/>
          <w:szCs w:val="32"/>
          <w:lang w:val="en-US" w:eastAsia="zh-CN"/>
        </w:rPr>
        <w:t>年产5000吨铝合金压铸零件、汽车配件、</w:t>
      </w:r>
    </w:p>
    <w:p w14:paraId="348A3FFD">
      <w:pPr>
        <w:bidi w:val="0"/>
        <w:ind w:left="0" w:leftChars="0" w:firstLine="0" w:firstLineChars="0"/>
        <w:jc w:val="center"/>
        <w:rPr>
          <w:rFonts w:hint="eastAsia"/>
          <w:b/>
          <w:bCs/>
          <w:sz w:val="32"/>
          <w:szCs w:val="32"/>
        </w:rPr>
      </w:pPr>
      <w:r>
        <w:rPr>
          <w:rFonts w:hint="eastAsia"/>
          <w:b/>
          <w:bCs/>
          <w:sz w:val="32"/>
          <w:szCs w:val="32"/>
          <w:lang w:val="en-US" w:eastAsia="zh-CN"/>
        </w:rPr>
        <w:t>照明灯具、制冷工具配件等项目</w:t>
      </w:r>
    </w:p>
    <w:p w14:paraId="1B01FC10">
      <w:pPr>
        <w:bidi w:val="0"/>
        <w:ind w:left="0" w:leftChars="0" w:firstLine="0" w:firstLineChars="0"/>
        <w:jc w:val="center"/>
        <w:rPr>
          <w:rFonts w:hint="eastAsia"/>
          <w:b/>
          <w:bCs/>
          <w:sz w:val="32"/>
          <w:szCs w:val="32"/>
        </w:rPr>
      </w:pPr>
      <w:r>
        <w:rPr>
          <w:rFonts w:hint="eastAsia"/>
          <w:b/>
          <w:bCs/>
          <w:sz w:val="32"/>
          <w:szCs w:val="32"/>
        </w:rPr>
        <w:t>非重大变动环境影响分析说明</w:t>
      </w:r>
    </w:p>
    <w:p w14:paraId="0ACDBA00">
      <w:pPr>
        <w:pStyle w:val="6"/>
        <w:bidi w:val="0"/>
        <w:rPr>
          <w:rFonts w:hint="eastAsia"/>
        </w:rPr>
      </w:pPr>
      <w:r>
        <w:rPr>
          <w:rFonts w:hint="eastAsia"/>
          <w:lang w:val="en-US" w:eastAsia="zh-CN"/>
        </w:rPr>
        <w:t>1</w:t>
      </w:r>
      <w:r>
        <w:rPr>
          <w:rFonts w:hint="eastAsia"/>
        </w:rPr>
        <w:t>变动情况</w:t>
      </w:r>
    </w:p>
    <w:p w14:paraId="35CF7479">
      <w:pPr>
        <w:pStyle w:val="7"/>
        <w:bidi w:val="0"/>
        <w:rPr>
          <w:rFonts w:hint="default"/>
          <w:lang w:val="en-US" w:eastAsia="zh-CN"/>
        </w:rPr>
      </w:pPr>
      <w:r>
        <w:rPr>
          <w:rFonts w:hint="eastAsia"/>
          <w:lang w:val="en-US" w:eastAsia="zh-CN"/>
        </w:rPr>
        <w:t>1.1环保手续、环评批复要求及落实情况</w:t>
      </w:r>
    </w:p>
    <w:p w14:paraId="6874E5A4">
      <w:pPr>
        <w:rPr>
          <w:rFonts w:hint="default" w:ascii="Times New Roman" w:hAnsi="Times New Roman" w:eastAsia="宋体" w:cs="宋体"/>
          <w:sz w:val="24"/>
          <w:szCs w:val="28"/>
          <w:lang w:val="en-US" w:eastAsia="zh-CN"/>
        </w:rPr>
      </w:pPr>
      <w:r>
        <w:rPr>
          <w:rFonts w:hint="eastAsia" w:ascii="Times New Roman" w:hAnsi="Times New Roman" w:eastAsia="宋体" w:cs="宋体"/>
          <w:sz w:val="24"/>
          <w:szCs w:val="28"/>
          <w:lang w:val="en-US" w:eastAsia="zh-CN"/>
        </w:rPr>
        <w:t>1、环保手续办理情况</w:t>
      </w:r>
    </w:p>
    <w:p w14:paraId="377A1AF0">
      <w:pPr>
        <w:keepNext w:val="0"/>
        <w:keepLines w:val="0"/>
        <w:widowControl/>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Cs/>
          <w:kern w:val="2"/>
          <w:sz w:val="24"/>
          <w:szCs w:val="24"/>
        </w:rPr>
      </w:pPr>
      <w:r>
        <w:rPr>
          <w:rFonts w:hint="default"/>
        </w:rPr>
        <w:t>2023年8月21日，企业取得皖江江南新兴产业集中区管理委员会立项备案表，项目名称为年产5000吨铝合金压铸零件、汽车配件、照明灯具、制冷工具配件等项目。</w:t>
      </w:r>
      <w:r>
        <w:rPr>
          <w:rFonts w:hint="eastAsia" w:ascii="Times New Roman" w:hAnsi="Times New Roman" w:eastAsia="宋体" w:cs="Times New Roman"/>
          <w:sz w:val="24"/>
          <w:szCs w:val="24"/>
          <w:lang w:val="en-US" w:eastAsia="zh-CN" w:bidi="ar"/>
        </w:rPr>
        <w:t>项目于2024年7月完成环评，在2024年7月24日获得</w:t>
      </w:r>
      <w:r>
        <w:rPr>
          <w:rFonts w:hint="eastAsia"/>
          <w:lang w:val="en-US" w:eastAsia="zh-CN"/>
        </w:rPr>
        <w:t>皖江江南新兴产业集中区生态环境局关于安徽凯诺德铝镁金属科技发展有限公司年产5000吨铝合金压铸零件、汽车配件、照明灯具、制冷工具配件等项目环境影响报告表的批复（江南环审</w:t>
      </w:r>
      <w:r>
        <w:rPr>
          <w:rFonts w:hint="eastAsia"/>
        </w:rPr>
        <w:t>〔2</w:t>
      </w:r>
      <w:r>
        <w:rPr>
          <w:rFonts w:hint="eastAsia"/>
          <w:lang w:val="en-US" w:eastAsia="zh-CN"/>
        </w:rPr>
        <w:t>024</w:t>
      </w:r>
      <w:r>
        <w:rPr>
          <w:rFonts w:hint="eastAsia"/>
        </w:rPr>
        <w:t>〕</w:t>
      </w:r>
      <w:r>
        <w:rPr>
          <w:rFonts w:hint="eastAsia"/>
          <w:lang w:val="en-US" w:eastAsia="zh-CN"/>
        </w:rPr>
        <w:t>17</w:t>
      </w:r>
      <w:r>
        <w:rPr>
          <w:rFonts w:hint="eastAsia"/>
        </w:rPr>
        <w:t>号</w:t>
      </w:r>
      <w:r>
        <w:rPr>
          <w:rFonts w:hint="eastAsia"/>
          <w:lang w:val="en-US" w:eastAsia="zh-CN"/>
        </w:rPr>
        <w:t>）</w:t>
      </w:r>
      <w:r>
        <w:rPr>
          <w:rFonts w:hint="eastAsia" w:ascii="Times New Roman" w:hAnsi="Times New Roman" w:eastAsia="宋体" w:cs="Times New Roman"/>
          <w:sz w:val="24"/>
          <w:szCs w:val="24"/>
          <w:lang w:val="en-US" w:eastAsia="zh-CN" w:bidi="ar"/>
        </w:rPr>
        <w:t>。</w:t>
      </w:r>
      <w:r>
        <w:rPr>
          <w:rFonts w:hint="eastAsia" w:ascii="Times New Roman" w:hAnsi="Times New Roman" w:eastAsia="宋体" w:cs="宋体"/>
          <w:snapToGrid/>
          <w:kern w:val="0"/>
          <w:sz w:val="24"/>
          <w:szCs w:val="24"/>
          <w:vertAlign w:val="baseline"/>
          <w:lang w:val="en-US" w:eastAsia="zh-CN" w:bidi="ar"/>
        </w:rPr>
        <w:t>企业已于2024年9月27日申领了排污许可证，证书编号：91341700MA8QJWCD9E001U。</w:t>
      </w:r>
    </w:p>
    <w:p w14:paraId="767B8788">
      <w:pPr>
        <w:rPr>
          <w:rFonts w:hint="default" w:ascii="Times New Roman" w:hAnsi="Times New Roman" w:eastAsia="宋体" w:cs="Times New Roman"/>
          <w:kern w:val="2"/>
          <w:sz w:val="24"/>
          <w:szCs w:val="24"/>
        </w:rPr>
      </w:pPr>
      <w:r>
        <w:rPr>
          <w:rFonts w:hint="default" w:ascii="Times New Roman" w:hAnsi="Times New Roman" w:eastAsia="宋体" w:cs="Times New Roman"/>
          <w:bCs/>
          <w:kern w:val="2"/>
          <w:sz w:val="24"/>
          <w:szCs w:val="24"/>
          <w:lang w:val="en-US" w:eastAsia="zh-CN"/>
        </w:rPr>
        <w:t>项目于2024年7月建设，2024年9月竣工并开始调试。企业在2024年</w:t>
      </w:r>
      <w:r>
        <w:rPr>
          <w:rFonts w:hint="eastAsia" w:cs="Times New Roman"/>
          <w:bCs/>
          <w:kern w:val="2"/>
          <w:sz w:val="24"/>
          <w:szCs w:val="24"/>
          <w:lang w:val="en-US" w:eastAsia="zh-CN"/>
        </w:rPr>
        <w:t>12</w:t>
      </w:r>
      <w:r>
        <w:rPr>
          <w:rFonts w:hint="default" w:ascii="Times New Roman" w:hAnsi="Times New Roman" w:eastAsia="宋体" w:cs="Times New Roman"/>
          <w:bCs/>
          <w:kern w:val="2"/>
          <w:sz w:val="24"/>
          <w:szCs w:val="24"/>
          <w:lang w:val="en-US" w:eastAsia="zh-CN"/>
        </w:rPr>
        <w:t>月开始验收工作，并开展本项目的竣工环保验收监测工作。2024年12月3日-12月4日安徽宜洁环境检测有限公司对本项目废水、废气、噪声开展了现场检测（CMA: 181212051397）。根据《排污许可管理条例》、《排污单位环境管理台账及排污许可证执行报告技术规范 总则》（HJ944-2018）等有关要求，</w:t>
      </w:r>
      <w:r>
        <w:rPr>
          <w:rFonts w:hint="eastAsia"/>
          <w:lang w:val="en-US" w:eastAsia="zh-CN"/>
        </w:rPr>
        <w:t>安徽凯诺德铝镁金属科技发展有限公司</w:t>
      </w:r>
      <w:r>
        <w:rPr>
          <w:rFonts w:hint="default" w:ascii="Times New Roman" w:hAnsi="Times New Roman" w:eastAsia="宋体" w:cs="Times New Roman"/>
          <w:bCs/>
          <w:kern w:val="2"/>
          <w:sz w:val="24"/>
          <w:szCs w:val="24"/>
          <w:lang w:val="en-US" w:eastAsia="zh-CN"/>
        </w:rPr>
        <w:t>在本项目正式产污前，进行了排污许可证</w:t>
      </w:r>
      <w:r>
        <w:rPr>
          <w:rFonts w:hint="eastAsia" w:cs="Times New Roman"/>
          <w:bCs/>
          <w:kern w:val="2"/>
          <w:sz w:val="24"/>
          <w:szCs w:val="24"/>
          <w:lang w:val="en-US" w:eastAsia="zh-CN"/>
        </w:rPr>
        <w:t>申领</w:t>
      </w:r>
      <w:r>
        <w:rPr>
          <w:rFonts w:hint="default" w:ascii="Times New Roman" w:hAnsi="Times New Roman" w:eastAsia="宋体" w:cs="Times New Roman"/>
          <w:bCs/>
          <w:kern w:val="2"/>
          <w:sz w:val="24"/>
          <w:szCs w:val="24"/>
          <w:lang w:val="en-US" w:eastAsia="zh-CN"/>
        </w:rPr>
        <w:t>。</w:t>
      </w:r>
    </w:p>
    <w:p w14:paraId="7EFAEE3B">
      <w:pPr>
        <w:rPr>
          <w:rFonts w:hint="eastAsia" w:ascii="Times New Roman" w:hAnsi="Times New Roman" w:eastAsia="宋体" w:cs="宋体"/>
          <w:sz w:val="24"/>
          <w:szCs w:val="28"/>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Times New Roman" w:hAnsi="Times New Roman" w:eastAsia="宋体" w:cs="宋体"/>
          <w:sz w:val="24"/>
          <w:szCs w:val="28"/>
          <w:lang w:val="en-US" w:eastAsia="zh-CN"/>
        </w:rPr>
        <w:t>2、环评批复要求及落实情况</w:t>
      </w:r>
    </w:p>
    <w:p w14:paraId="09303249">
      <w:pPr>
        <w:pStyle w:val="22"/>
        <w:bidi w:val="0"/>
        <w:rPr>
          <w:rFonts w:hint="eastAsia"/>
          <w:lang w:val="en-US" w:eastAsia="zh-CN"/>
        </w:rPr>
      </w:pPr>
      <w:r>
        <w:rPr>
          <w:rFonts w:hint="eastAsia"/>
          <w:lang w:val="en-US" w:eastAsia="zh-CN"/>
        </w:rPr>
        <w:t>表1-1 本项目环评批复要求及落实情况一览表</w:t>
      </w:r>
    </w:p>
    <w:tbl>
      <w:tblPr>
        <w:tblStyle w:val="15"/>
        <w:tblW w:w="497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561"/>
        <w:gridCol w:w="1075"/>
        <w:gridCol w:w="3815"/>
        <w:gridCol w:w="1446"/>
        <w:gridCol w:w="3593"/>
        <w:gridCol w:w="1452"/>
        <w:gridCol w:w="1959"/>
      </w:tblGrid>
      <w:tr w14:paraId="27230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35" w:type="dxa"/>
            <w:gridSpan w:val="2"/>
            <w:vMerge w:val="restart"/>
            <w:vAlign w:val="center"/>
          </w:tcPr>
          <w:p w14:paraId="0DCE836B">
            <w:pPr>
              <w:pStyle w:val="23"/>
              <w:bidi w:val="0"/>
              <w:jc w:val="center"/>
            </w:pPr>
            <w:r>
              <w:t>工程名称</w:t>
            </w:r>
          </w:p>
        </w:tc>
        <w:tc>
          <w:tcPr>
            <w:tcW w:w="5258" w:type="dxa"/>
            <w:gridSpan w:val="2"/>
            <w:vAlign w:val="center"/>
          </w:tcPr>
          <w:p w14:paraId="119B18A7">
            <w:pPr>
              <w:pStyle w:val="23"/>
              <w:bidi w:val="0"/>
              <w:jc w:val="center"/>
              <w:rPr>
                <w:rFonts w:hint="eastAsia" w:eastAsia="宋体"/>
                <w:lang w:val="en-US" w:eastAsia="zh-CN"/>
              </w:rPr>
            </w:pPr>
            <w:r>
              <w:rPr>
                <w:rFonts w:hint="eastAsia"/>
                <w:lang w:val="en-US" w:eastAsia="zh-CN"/>
              </w:rPr>
              <w:t>环评内容</w:t>
            </w:r>
          </w:p>
        </w:tc>
        <w:tc>
          <w:tcPr>
            <w:tcW w:w="5042" w:type="dxa"/>
            <w:gridSpan w:val="2"/>
            <w:vAlign w:val="center"/>
          </w:tcPr>
          <w:p w14:paraId="6E1A747C">
            <w:pPr>
              <w:pStyle w:val="23"/>
              <w:bidi w:val="0"/>
              <w:jc w:val="center"/>
              <w:rPr>
                <w:rFonts w:hint="default" w:eastAsia="宋体"/>
                <w:lang w:val="en-US" w:eastAsia="zh-CN"/>
              </w:rPr>
            </w:pPr>
            <w:r>
              <w:rPr>
                <w:rFonts w:hint="eastAsia"/>
                <w:lang w:val="en-US" w:eastAsia="zh-CN"/>
              </w:rPr>
              <w:t>实际建设内容</w:t>
            </w:r>
          </w:p>
        </w:tc>
        <w:tc>
          <w:tcPr>
            <w:tcW w:w="1958" w:type="dxa"/>
            <w:vMerge w:val="restart"/>
            <w:vAlign w:val="center"/>
          </w:tcPr>
          <w:p w14:paraId="1A2C338A">
            <w:pPr>
              <w:pStyle w:val="23"/>
              <w:bidi w:val="0"/>
              <w:jc w:val="center"/>
              <w:rPr>
                <w:rFonts w:hint="default"/>
                <w:lang w:val="en-US" w:eastAsia="zh-CN"/>
              </w:rPr>
            </w:pPr>
            <w:r>
              <w:rPr>
                <w:rFonts w:hint="eastAsia"/>
                <w:lang w:val="en-US" w:eastAsia="zh-CN"/>
              </w:rPr>
              <w:t>备注</w:t>
            </w:r>
          </w:p>
        </w:tc>
      </w:tr>
      <w:tr w14:paraId="38870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 w:hRule="atLeast"/>
          <w:jc w:val="center"/>
        </w:trPr>
        <w:tc>
          <w:tcPr>
            <w:tcW w:w="1635" w:type="dxa"/>
            <w:gridSpan w:val="2"/>
            <w:vMerge w:val="continue"/>
            <w:tcBorders>
              <w:top w:val="nil"/>
            </w:tcBorders>
            <w:vAlign w:val="center"/>
          </w:tcPr>
          <w:p w14:paraId="7AE86456">
            <w:pPr>
              <w:pStyle w:val="23"/>
              <w:bidi w:val="0"/>
              <w:jc w:val="center"/>
            </w:pPr>
          </w:p>
        </w:tc>
        <w:tc>
          <w:tcPr>
            <w:tcW w:w="3813" w:type="dxa"/>
            <w:vAlign w:val="center"/>
          </w:tcPr>
          <w:p w14:paraId="676044C1">
            <w:pPr>
              <w:pStyle w:val="23"/>
              <w:bidi w:val="0"/>
              <w:jc w:val="center"/>
            </w:pPr>
            <w:r>
              <w:t>工程内容</w:t>
            </w:r>
          </w:p>
        </w:tc>
        <w:tc>
          <w:tcPr>
            <w:tcW w:w="1445" w:type="dxa"/>
            <w:vAlign w:val="center"/>
          </w:tcPr>
          <w:p w14:paraId="4EB645F5">
            <w:pPr>
              <w:pStyle w:val="23"/>
              <w:bidi w:val="0"/>
              <w:jc w:val="center"/>
            </w:pPr>
            <w:r>
              <w:t>工程规</w:t>
            </w:r>
          </w:p>
          <w:p w14:paraId="371EF0C7">
            <w:pPr>
              <w:pStyle w:val="23"/>
              <w:bidi w:val="0"/>
              <w:jc w:val="center"/>
            </w:pPr>
            <w:r>
              <w:t>模</w:t>
            </w:r>
          </w:p>
        </w:tc>
        <w:tc>
          <w:tcPr>
            <w:tcW w:w="3591" w:type="dxa"/>
            <w:vAlign w:val="center"/>
          </w:tcPr>
          <w:p w14:paraId="5C500171">
            <w:pPr>
              <w:pStyle w:val="23"/>
              <w:bidi w:val="0"/>
              <w:jc w:val="center"/>
              <w:rPr>
                <w:rFonts w:hint="default" w:eastAsia="宋体"/>
                <w:lang w:val="en-US" w:eastAsia="zh-CN"/>
              </w:rPr>
            </w:pPr>
            <w:r>
              <w:t>工程内容</w:t>
            </w:r>
          </w:p>
        </w:tc>
        <w:tc>
          <w:tcPr>
            <w:tcW w:w="1451" w:type="dxa"/>
            <w:vAlign w:val="center"/>
          </w:tcPr>
          <w:p w14:paraId="5EDE444C">
            <w:pPr>
              <w:pStyle w:val="23"/>
              <w:bidi w:val="0"/>
              <w:jc w:val="center"/>
            </w:pPr>
            <w:r>
              <w:t>工程规模</w:t>
            </w:r>
          </w:p>
        </w:tc>
        <w:tc>
          <w:tcPr>
            <w:tcW w:w="1958" w:type="dxa"/>
            <w:vMerge w:val="continue"/>
            <w:vAlign w:val="center"/>
          </w:tcPr>
          <w:p w14:paraId="4E9873E2">
            <w:pPr>
              <w:pStyle w:val="23"/>
              <w:bidi w:val="0"/>
              <w:jc w:val="center"/>
            </w:pPr>
          </w:p>
        </w:tc>
      </w:tr>
      <w:tr w14:paraId="056B3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 w:hRule="atLeast"/>
          <w:jc w:val="center"/>
        </w:trPr>
        <w:tc>
          <w:tcPr>
            <w:tcW w:w="561" w:type="dxa"/>
            <w:vMerge w:val="restart"/>
            <w:vAlign w:val="center"/>
          </w:tcPr>
          <w:p w14:paraId="0EB77106">
            <w:pPr>
              <w:pStyle w:val="23"/>
              <w:bidi w:val="0"/>
              <w:jc w:val="center"/>
            </w:pPr>
            <w:r>
              <w:t>主体工程</w:t>
            </w:r>
          </w:p>
        </w:tc>
        <w:tc>
          <w:tcPr>
            <w:tcW w:w="1074" w:type="dxa"/>
            <w:vAlign w:val="center"/>
          </w:tcPr>
          <w:p w14:paraId="2276DDD6">
            <w:pPr>
              <w:pStyle w:val="23"/>
              <w:bidi w:val="0"/>
              <w:jc w:val="center"/>
              <w:rPr>
                <w:rFonts w:hint="default" w:eastAsia="宋体"/>
                <w:lang w:val="en-US" w:eastAsia="zh-CN"/>
              </w:rPr>
            </w:pPr>
            <w:r>
              <w:rPr>
                <w:rFonts w:hint="eastAsia"/>
                <w:lang w:val="en-US" w:eastAsia="zh-CN"/>
              </w:rPr>
              <w:t>铸造区</w:t>
            </w:r>
          </w:p>
        </w:tc>
        <w:tc>
          <w:tcPr>
            <w:tcW w:w="3813" w:type="dxa"/>
            <w:vAlign w:val="center"/>
          </w:tcPr>
          <w:p w14:paraId="703A8284">
            <w:pPr>
              <w:pStyle w:val="23"/>
              <w:ind w:left="0" w:leftChars="0" w:right="0" w:rightChars="0" w:firstLine="0" w:firstLineChars="0"/>
              <w:jc w:val="left"/>
            </w:pPr>
            <w:r>
              <w:rPr>
                <w:rFonts w:ascii="Times New Roman" w:hAnsi="Times New Roman"/>
              </w:rPr>
              <w:t>位于</w:t>
            </w:r>
            <w:r>
              <w:rPr>
                <w:rFonts w:hint="eastAsia" w:ascii="Times New Roman" w:hAnsi="Times New Roman"/>
              </w:rPr>
              <w:t>厂房内</w:t>
            </w:r>
            <w:r>
              <w:rPr>
                <w:rFonts w:ascii="Times New Roman" w:hAnsi="Times New Roman"/>
              </w:rPr>
              <w:t>北侧，布置10台铝合金集中熔炉、10台压铸机</w:t>
            </w:r>
            <w:r>
              <w:rPr>
                <w:rFonts w:hint="eastAsia" w:ascii="Times New Roman" w:hAnsi="Times New Roman"/>
              </w:rPr>
              <w:t>等</w:t>
            </w:r>
            <w:r>
              <w:rPr>
                <w:rFonts w:hint="eastAsia" w:ascii="Times New Roman" w:hAnsi="Times New Roman"/>
                <w:lang w:eastAsia="zh-CN"/>
              </w:rPr>
              <w:t>；</w:t>
            </w:r>
          </w:p>
        </w:tc>
        <w:tc>
          <w:tcPr>
            <w:tcW w:w="1445" w:type="dxa"/>
            <w:vAlign w:val="center"/>
          </w:tcPr>
          <w:p w14:paraId="3A3983E6">
            <w:pPr>
              <w:pStyle w:val="23"/>
              <w:ind w:left="0" w:leftChars="0" w:right="0" w:rightChars="0" w:firstLine="0" w:firstLineChars="0"/>
            </w:pPr>
            <w:r>
              <w:rPr>
                <w:rFonts w:ascii="Times New Roman" w:hAnsi="Times New Roman"/>
              </w:rPr>
              <w:t>占地面积约</w:t>
            </w:r>
            <w:r>
              <w:rPr>
                <w:rFonts w:hint="eastAsia" w:ascii="Times New Roman" w:hAnsi="Times New Roman"/>
                <w:lang w:val="en-US" w:eastAsia="zh-CN"/>
              </w:rPr>
              <w:t>500</w:t>
            </w:r>
            <w:r>
              <w:rPr>
                <w:rFonts w:ascii="Times New Roman" w:hAnsi="Times New Roman"/>
              </w:rPr>
              <w:t>m</w:t>
            </w:r>
            <w:r>
              <w:rPr>
                <w:rFonts w:ascii="Times New Roman" w:hAnsi="Times New Roman"/>
                <w:vertAlign w:val="superscript"/>
              </w:rPr>
              <w:t>2</w:t>
            </w:r>
          </w:p>
        </w:tc>
        <w:tc>
          <w:tcPr>
            <w:tcW w:w="3591" w:type="dxa"/>
            <w:vAlign w:val="center"/>
          </w:tcPr>
          <w:p w14:paraId="40E6B044">
            <w:pPr>
              <w:pStyle w:val="23"/>
              <w:bidi w:val="0"/>
              <w:ind w:left="0" w:leftChars="0" w:right="0" w:rightChars="0" w:firstLine="0" w:firstLineChars="0"/>
              <w:jc w:val="center"/>
              <w:rPr>
                <w:rFonts w:hint="default" w:ascii="Times New Roman" w:hAnsi="Times New Roman" w:eastAsia="宋体" w:cs="Times New Roman"/>
                <w:kern w:val="2"/>
                <w:sz w:val="21"/>
                <w:szCs w:val="20"/>
                <w:lang w:val="en-US" w:eastAsia="zh-CN" w:bidi="ar"/>
              </w:rPr>
            </w:pPr>
            <w:r>
              <w:rPr>
                <w:rFonts w:ascii="Times New Roman" w:hAnsi="Times New Roman"/>
              </w:rPr>
              <w:t>位于</w:t>
            </w:r>
            <w:r>
              <w:rPr>
                <w:rFonts w:hint="eastAsia" w:ascii="Times New Roman" w:hAnsi="Times New Roman"/>
              </w:rPr>
              <w:t>厂房内</w:t>
            </w:r>
            <w:r>
              <w:rPr>
                <w:rFonts w:ascii="Times New Roman" w:hAnsi="Times New Roman"/>
              </w:rPr>
              <w:t>北侧，布置</w:t>
            </w:r>
            <w:r>
              <w:rPr>
                <w:rFonts w:hint="eastAsia"/>
                <w:lang w:val="en-US" w:eastAsia="zh-CN"/>
              </w:rPr>
              <w:t>4</w:t>
            </w:r>
            <w:r>
              <w:rPr>
                <w:rFonts w:ascii="Times New Roman" w:hAnsi="Times New Roman"/>
              </w:rPr>
              <w:t>台铝合金集中熔炉、</w:t>
            </w:r>
            <w:r>
              <w:rPr>
                <w:rFonts w:hint="eastAsia"/>
                <w:lang w:val="en-US" w:eastAsia="zh-CN"/>
              </w:rPr>
              <w:t>4</w:t>
            </w:r>
            <w:bookmarkStart w:id="0" w:name="_GoBack"/>
            <w:bookmarkEnd w:id="0"/>
            <w:r>
              <w:rPr>
                <w:rFonts w:ascii="Times New Roman" w:hAnsi="Times New Roman"/>
              </w:rPr>
              <w:t>台压铸机</w:t>
            </w:r>
            <w:r>
              <w:rPr>
                <w:rFonts w:hint="eastAsia" w:ascii="Times New Roman" w:hAnsi="Times New Roman"/>
              </w:rPr>
              <w:t>等</w:t>
            </w:r>
            <w:r>
              <w:rPr>
                <w:rFonts w:hint="eastAsia" w:ascii="Times New Roman" w:hAnsi="Times New Roman"/>
                <w:lang w:eastAsia="zh-CN"/>
              </w:rPr>
              <w:t>；</w:t>
            </w:r>
          </w:p>
        </w:tc>
        <w:tc>
          <w:tcPr>
            <w:tcW w:w="1451" w:type="dxa"/>
            <w:vAlign w:val="center"/>
          </w:tcPr>
          <w:p w14:paraId="05C33FC0">
            <w:pPr>
              <w:pStyle w:val="23"/>
              <w:bidi w:val="0"/>
              <w:jc w:val="center"/>
              <w:rPr>
                <w:rFonts w:hint="default" w:ascii="Times New Roman" w:hAnsi="Times New Roman" w:eastAsia="宋体" w:cs="Times New Roman"/>
                <w:kern w:val="2"/>
                <w:sz w:val="21"/>
                <w:szCs w:val="20"/>
                <w:lang w:val="en-US" w:eastAsia="zh-CN" w:bidi="ar"/>
              </w:rPr>
            </w:pPr>
            <w:r>
              <w:rPr>
                <w:rFonts w:hint="eastAsia" w:cs="Times New Roman"/>
                <w:kern w:val="2"/>
                <w:sz w:val="21"/>
                <w:szCs w:val="20"/>
                <w:lang w:val="en-US" w:eastAsia="zh-CN" w:bidi="ar"/>
              </w:rPr>
              <w:t>占地规模约200</w:t>
            </w:r>
            <w:r>
              <w:rPr>
                <w:rFonts w:ascii="Times New Roman" w:hAnsi="Times New Roman"/>
              </w:rPr>
              <w:t>m</w:t>
            </w:r>
            <w:r>
              <w:rPr>
                <w:rFonts w:ascii="Times New Roman" w:hAnsi="Times New Roman"/>
                <w:vertAlign w:val="superscript"/>
              </w:rPr>
              <w:t>2</w:t>
            </w:r>
          </w:p>
        </w:tc>
        <w:tc>
          <w:tcPr>
            <w:tcW w:w="1958" w:type="dxa"/>
            <w:vAlign w:val="center"/>
          </w:tcPr>
          <w:p w14:paraId="53D18D11">
            <w:pPr>
              <w:pStyle w:val="23"/>
              <w:bidi w:val="0"/>
              <w:jc w:val="center"/>
              <w:rPr>
                <w:rFonts w:hint="default" w:eastAsia="宋体"/>
                <w:lang w:val="en-US" w:eastAsia="zh-CN"/>
              </w:rPr>
            </w:pPr>
            <w:r>
              <w:rPr>
                <w:rFonts w:hint="eastAsia"/>
                <w:lang w:val="en-US" w:eastAsia="zh-CN"/>
              </w:rPr>
              <w:t>设计规模2000t/a</w:t>
            </w:r>
          </w:p>
        </w:tc>
      </w:tr>
      <w:tr w14:paraId="3C9AD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 w:hRule="atLeast"/>
          <w:jc w:val="center"/>
        </w:trPr>
        <w:tc>
          <w:tcPr>
            <w:tcW w:w="561" w:type="dxa"/>
            <w:vMerge w:val="continue"/>
            <w:vAlign w:val="center"/>
          </w:tcPr>
          <w:p w14:paraId="78C61F60">
            <w:pPr>
              <w:pStyle w:val="23"/>
              <w:bidi w:val="0"/>
              <w:jc w:val="center"/>
            </w:pPr>
          </w:p>
        </w:tc>
        <w:tc>
          <w:tcPr>
            <w:tcW w:w="1074" w:type="dxa"/>
            <w:vAlign w:val="center"/>
          </w:tcPr>
          <w:p w14:paraId="52860266">
            <w:pPr>
              <w:pStyle w:val="23"/>
              <w:bidi w:val="0"/>
              <w:jc w:val="center"/>
            </w:pPr>
            <w:r>
              <w:rPr>
                <w:rFonts w:hint="eastAsia" w:ascii="Times New Roman" w:hAnsi="Times New Roman"/>
                <w:lang w:val="en-US" w:eastAsia="zh-CN"/>
              </w:rPr>
              <w:t>打磨区</w:t>
            </w:r>
          </w:p>
        </w:tc>
        <w:tc>
          <w:tcPr>
            <w:tcW w:w="3813" w:type="dxa"/>
            <w:vAlign w:val="center"/>
          </w:tcPr>
          <w:p w14:paraId="1549E126">
            <w:pPr>
              <w:pStyle w:val="23"/>
              <w:ind w:left="0" w:leftChars="0" w:right="0" w:rightChars="0" w:firstLine="0" w:firstLineChars="0"/>
              <w:jc w:val="left"/>
            </w:pPr>
            <w:r>
              <w:rPr>
                <w:rFonts w:hint="eastAsia" w:ascii="Times New Roman" w:hAnsi="Times New Roman"/>
                <w:lang w:val="en-US" w:eastAsia="zh-CN"/>
              </w:rPr>
              <w:t>位于厂房西北角，设置打磨设备2台，数控机床3台，转孔机床3台；</w:t>
            </w:r>
          </w:p>
        </w:tc>
        <w:tc>
          <w:tcPr>
            <w:tcW w:w="1445" w:type="dxa"/>
            <w:vAlign w:val="center"/>
          </w:tcPr>
          <w:p w14:paraId="65BDAD17">
            <w:pPr>
              <w:pStyle w:val="23"/>
              <w:ind w:left="0" w:leftChars="0" w:right="0" w:rightChars="0" w:firstLine="0" w:firstLineChars="0"/>
            </w:pPr>
            <w:r>
              <w:rPr>
                <w:rFonts w:ascii="Times New Roman" w:hAnsi="Times New Roman"/>
              </w:rPr>
              <w:t>占地面积约</w:t>
            </w:r>
            <w:r>
              <w:rPr>
                <w:rFonts w:hint="eastAsia" w:ascii="Times New Roman" w:hAnsi="Times New Roman"/>
                <w:lang w:val="en-US" w:eastAsia="zh-CN"/>
              </w:rPr>
              <w:t>100</w:t>
            </w:r>
            <w:r>
              <w:rPr>
                <w:rFonts w:ascii="Times New Roman" w:hAnsi="Times New Roman"/>
              </w:rPr>
              <w:t>m</w:t>
            </w:r>
            <w:r>
              <w:rPr>
                <w:rFonts w:ascii="Times New Roman" w:hAnsi="Times New Roman"/>
                <w:vertAlign w:val="superscript"/>
              </w:rPr>
              <w:t>2</w:t>
            </w:r>
          </w:p>
        </w:tc>
        <w:tc>
          <w:tcPr>
            <w:tcW w:w="3591" w:type="dxa"/>
            <w:vAlign w:val="center"/>
          </w:tcPr>
          <w:p w14:paraId="5B858D80">
            <w:pPr>
              <w:pStyle w:val="23"/>
              <w:bidi w:val="0"/>
              <w:ind w:left="0" w:leftChars="0" w:right="0" w:rightChars="0" w:firstLine="0" w:firstLineChars="0"/>
              <w:jc w:val="center"/>
            </w:pPr>
            <w:r>
              <w:rPr>
                <w:rFonts w:hint="eastAsia" w:ascii="Times New Roman" w:hAnsi="Times New Roman"/>
                <w:lang w:val="en-US" w:eastAsia="zh-CN"/>
              </w:rPr>
              <w:t>位于厂房西北角，设置</w:t>
            </w:r>
            <w:r>
              <w:rPr>
                <w:rFonts w:hint="eastAsia"/>
                <w:lang w:val="en-US" w:eastAsia="zh-CN"/>
              </w:rPr>
              <w:t>人工</w:t>
            </w:r>
            <w:r>
              <w:rPr>
                <w:rFonts w:hint="eastAsia" w:ascii="Times New Roman" w:hAnsi="Times New Roman"/>
                <w:lang w:val="en-US" w:eastAsia="zh-CN"/>
              </w:rPr>
              <w:t>打磨设备2台</w:t>
            </w:r>
            <w:r>
              <w:rPr>
                <w:rFonts w:hint="eastAsia"/>
                <w:lang w:val="en-US" w:eastAsia="zh-CN"/>
              </w:rPr>
              <w:t>，机器人打磨设备4台；</w:t>
            </w:r>
          </w:p>
        </w:tc>
        <w:tc>
          <w:tcPr>
            <w:tcW w:w="1451" w:type="dxa"/>
            <w:vAlign w:val="center"/>
          </w:tcPr>
          <w:p w14:paraId="1E608F80">
            <w:pPr>
              <w:pStyle w:val="23"/>
              <w:bidi w:val="0"/>
              <w:jc w:val="center"/>
              <w:rPr>
                <w:rFonts w:hint="eastAsia"/>
                <w:lang w:val="en-US" w:eastAsia="zh-CN"/>
              </w:rPr>
            </w:pPr>
            <w:r>
              <w:rPr>
                <w:rFonts w:hint="eastAsia" w:cs="Times New Roman"/>
                <w:kern w:val="2"/>
                <w:sz w:val="21"/>
                <w:szCs w:val="20"/>
                <w:lang w:val="en-US" w:eastAsia="zh-CN" w:bidi="ar"/>
              </w:rPr>
              <w:t>占地规模约200</w:t>
            </w:r>
            <w:r>
              <w:rPr>
                <w:rFonts w:ascii="Times New Roman" w:hAnsi="Times New Roman"/>
              </w:rPr>
              <w:t>m</w:t>
            </w:r>
            <w:r>
              <w:rPr>
                <w:rFonts w:ascii="Times New Roman" w:hAnsi="Times New Roman"/>
                <w:vertAlign w:val="superscript"/>
              </w:rPr>
              <w:t>2</w:t>
            </w:r>
          </w:p>
        </w:tc>
        <w:tc>
          <w:tcPr>
            <w:tcW w:w="1958" w:type="dxa"/>
            <w:vAlign w:val="center"/>
          </w:tcPr>
          <w:p w14:paraId="7A95CFF6">
            <w:pPr>
              <w:pStyle w:val="23"/>
              <w:bidi w:val="0"/>
              <w:jc w:val="center"/>
              <w:rPr>
                <w:rFonts w:hint="default"/>
                <w:lang w:val="en-US" w:eastAsia="zh-CN"/>
              </w:rPr>
            </w:pPr>
            <w:r>
              <w:rPr>
                <w:rFonts w:hint="eastAsia"/>
                <w:lang w:val="en-US" w:eastAsia="zh-CN"/>
              </w:rPr>
              <w:t>新增四台打磨机器人，未设置机加工区</w:t>
            </w:r>
          </w:p>
        </w:tc>
      </w:tr>
      <w:tr w14:paraId="51CD2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 w:hRule="atLeast"/>
          <w:jc w:val="center"/>
        </w:trPr>
        <w:tc>
          <w:tcPr>
            <w:tcW w:w="561" w:type="dxa"/>
            <w:vMerge w:val="continue"/>
            <w:vAlign w:val="center"/>
          </w:tcPr>
          <w:p w14:paraId="44AB71EB">
            <w:pPr>
              <w:pStyle w:val="23"/>
              <w:bidi w:val="0"/>
              <w:jc w:val="center"/>
            </w:pPr>
          </w:p>
        </w:tc>
        <w:tc>
          <w:tcPr>
            <w:tcW w:w="1074" w:type="dxa"/>
            <w:vAlign w:val="center"/>
          </w:tcPr>
          <w:p w14:paraId="056281A2">
            <w:pPr>
              <w:pStyle w:val="23"/>
              <w:ind w:left="0" w:leftChars="0" w:right="0" w:rightChars="0" w:firstLine="0" w:firstLineChars="0"/>
              <w:rPr>
                <w:rFonts w:hint="eastAsia" w:ascii="Times New Roman" w:hAnsi="Times New Roman"/>
                <w:lang w:val="en-US" w:eastAsia="zh-CN"/>
              </w:rPr>
            </w:pPr>
            <w:r>
              <w:rPr>
                <w:rFonts w:ascii="Times New Roman" w:hAnsi="Times New Roman"/>
              </w:rPr>
              <w:t>喷粉区</w:t>
            </w:r>
          </w:p>
        </w:tc>
        <w:tc>
          <w:tcPr>
            <w:tcW w:w="3813" w:type="dxa"/>
            <w:vAlign w:val="center"/>
          </w:tcPr>
          <w:p w14:paraId="65265839">
            <w:pPr>
              <w:pStyle w:val="23"/>
              <w:ind w:left="0" w:leftChars="0" w:right="0" w:rightChars="0" w:firstLine="0" w:firstLineChars="0"/>
              <w:jc w:val="left"/>
              <w:rPr>
                <w:rFonts w:hint="eastAsia" w:ascii="Times New Roman" w:hAnsi="Times New Roman"/>
                <w:lang w:val="en-US" w:eastAsia="zh-CN"/>
              </w:rPr>
            </w:pPr>
            <w:r>
              <w:rPr>
                <w:rFonts w:ascii="Times New Roman" w:hAnsi="Times New Roman"/>
              </w:rPr>
              <w:t>位于</w:t>
            </w:r>
            <w:r>
              <w:rPr>
                <w:rFonts w:hint="eastAsia" w:ascii="Times New Roman" w:hAnsi="Times New Roman"/>
              </w:rPr>
              <w:t>厂房内</w:t>
            </w:r>
            <w:r>
              <w:rPr>
                <w:rFonts w:ascii="Times New Roman" w:hAnsi="Times New Roman"/>
              </w:rPr>
              <w:t>南侧，布置一条喷粉线</w:t>
            </w:r>
            <w:r>
              <w:rPr>
                <w:rFonts w:hint="eastAsia" w:ascii="Times New Roman" w:hAnsi="Times New Roman"/>
                <w:lang w:eastAsia="zh-CN"/>
              </w:rPr>
              <w:t>；</w:t>
            </w:r>
          </w:p>
        </w:tc>
        <w:tc>
          <w:tcPr>
            <w:tcW w:w="1445" w:type="dxa"/>
            <w:vAlign w:val="center"/>
          </w:tcPr>
          <w:p w14:paraId="023C46AF">
            <w:pPr>
              <w:pStyle w:val="23"/>
              <w:ind w:left="0" w:leftChars="0" w:right="0" w:rightChars="0" w:firstLine="0" w:firstLineChars="0"/>
              <w:rPr>
                <w:rFonts w:ascii="Times New Roman" w:hAnsi="Times New Roman"/>
              </w:rPr>
            </w:pPr>
            <w:r>
              <w:rPr>
                <w:rFonts w:ascii="Times New Roman" w:hAnsi="Times New Roman"/>
              </w:rPr>
              <w:t>占地面积约</w:t>
            </w:r>
            <w:r>
              <w:rPr>
                <w:rFonts w:hint="eastAsia" w:ascii="Times New Roman" w:hAnsi="Times New Roman"/>
                <w:lang w:val="en-US" w:eastAsia="zh-CN"/>
              </w:rPr>
              <w:t>150</w:t>
            </w:r>
            <w:r>
              <w:rPr>
                <w:rFonts w:ascii="Times New Roman" w:hAnsi="Times New Roman"/>
              </w:rPr>
              <w:t>m</w:t>
            </w:r>
            <w:r>
              <w:rPr>
                <w:rFonts w:ascii="Times New Roman" w:hAnsi="Times New Roman"/>
                <w:vertAlign w:val="superscript"/>
              </w:rPr>
              <w:t>2</w:t>
            </w:r>
          </w:p>
        </w:tc>
        <w:tc>
          <w:tcPr>
            <w:tcW w:w="3591" w:type="dxa"/>
            <w:vAlign w:val="center"/>
          </w:tcPr>
          <w:p w14:paraId="0C8A38B7">
            <w:pPr>
              <w:pStyle w:val="23"/>
              <w:bidi w:val="0"/>
              <w:ind w:left="0" w:leftChars="0" w:right="0" w:rightChars="0" w:firstLine="0" w:firstLineChars="0"/>
              <w:jc w:val="center"/>
              <w:rPr>
                <w:rFonts w:hint="default" w:eastAsia="宋体"/>
                <w:lang w:val="en-US" w:eastAsia="zh-CN"/>
              </w:rPr>
            </w:pPr>
            <w:r>
              <w:rPr>
                <w:rFonts w:hint="eastAsia"/>
                <w:lang w:val="en-US" w:eastAsia="zh-CN"/>
              </w:rPr>
              <w:t>/</w:t>
            </w:r>
          </w:p>
        </w:tc>
        <w:tc>
          <w:tcPr>
            <w:tcW w:w="1451" w:type="dxa"/>
            <w:vAlign w:val="center"/>
          </w:tcPr>
          <w:p w14:paraId="7881E91B">
            <w:pPr>
              <w:pStyle w:val="23"/>
              <w:bidi w:val="0"/>
              <w:jc w:val="center"/>
              <w:rPr>
                <w:rFonts w:hint="default"/>
                <w:lang w:val="en-US" w:eastAsia="zh-CN"/>
              </w:rPr>
            </w:pPr>
            <w:r>
              <w:rPr>
                <w:rFonts w:hint="eastAsia"/>
                <w:lang w:val="en-US" w:eastAsia="zh-CN"/>
              </w:rPr>
              <w:t>/</w:t>
            </w:r>
          </w:p>
        </w:tc>
        <w:tc>
          <w:tcPr>
            <w:tcW w:w="1958" w:type="dxa"/>
            <w:vAlign w:val="center"/>
          </w:tcPr>
          <w:p w14:paraId="2984680F">
            <w:pPr>
              <w:pStyle w:val="23"/>
              <w:bidi w:val="0"/>
              <w:jc w:val="center"/>
              <w:rPr>
                <w:rFonts w:hint="default"/>
                <w:lang w:val="en-US" w:eastAsia="zh-CN"/>
              </w:rPr>
            </w:pPr>
            <w:r>
              <w:rPr>
                <w:rFonts w:hint="eastAsia"/>
                <w:lang w:val="en-US" w:eastAsia="zh-CN"/>
              </w:rPr>
              <w:t>未设置喷粉线</w:t>
            </w:r>
          </w:p>
        </w:tc>
      </w:tr>
      <w:tr w14:paraId="78627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 w:hRule="atLeast"/>
          <w:jc w:val="center"/>
        </w:trPr>
        <w:tc>
          <w:tcPr>
            <w:tcW w:w="561" w:type="dxa"/>
            <w:tcBorders>
              <w:bottom w:val="single" w:color="auto" w:sz="4" w:space="0"/>
            </w:tcBorders>
            <w:vAlign w:val="center"/>
          </w:tcPr>
          <w:p w14:paraId="2835E2CC">
            <w:pPr>
              <w:pStyle w:val="23"/>
              <w:bidi w:val="0"/>
              <w:jc w:val="center"/>
              <w:rPr>
                <w:rFonts w:hint="default" w:eastAsia="宋体"/>
                <w:lang w:val="en-US" w:eastAsia="zh-CN"/>
              </w:rPr>
            </w:pPr>
            <w:r>
              <w:rPr>
                <w:rFonts w:hint="eastAsia"/>
                <w:lang w:val="en-US" w:eastAsia="zh-CN"/>
              </w:rPr>
              <w:t>辅助工程</w:t>
            </w:r>
          </w:p>
        </w:tc>
        <w:tc>
          <w:tcPr>
            <w:tcW w:w="1074" w:type="dxa"/>
            <w:tcBorders>
              <w:bottom w:val="single" w:color="auto" w:sz="4" w:space="0"/>
            </w:tcBorders>
            <w:vAlign w:val="center"/>
          </w:tcPr>
          <w:p w14:paraId="59D82899">
            <w:pPr>
              <w:pStyle w:val="23"/>
              <w:bidi w:val="0"/>
              <w:jc w:val="center"/>
            </w:pPr>
            <w:r>
              <w:rPr>
                <w:rFonts w:ascii="Times New Roman" w:hAnsi="Times New Roman"/>
              </w:rPr>
              <w:t>办公区</w:t>
            </w:r>
          </w:p>
        </w:tc>
        <w:tc>
          <w:tcPr>
            <w:tcW w:w="5258" w:type="dxa"/>
            <w:gridSpan w:val="2"/>
            <w:vAlign w:val="center"/>
          </w:tcPr>
          <w:p w14:paraId="4637294A">
            <w:pPr>
              <w:pStyle w:val="23"/>
              <w:bidi w:val="0"/>
              <w:jc w:val="left"/>
            </w:pPr>
            <w:r>
              <w:rPr>
                <w:rFonts w:ascii="Times New Roman" w:hAnsi="Times New Roman"/>
              </w:rPr>
              <w:t>位于</w:t>
            </w:r>
            <w:r>
              <w:rPr>
                <w:rFonts w:hint="eastAsia" w:ascii="Times New Roman" w:hAnsi="Times New Roman"/>
              </w:rPr>
              <w:t>厂房内</w:t>
            </w:r>
            <w:r>
              <w:rPr>
                <w:rFonts w:ascii="Times New Roman" w:hAnsi="Times New Roman"/>
              </w:rPr>
              <w:t>东南侧</w:t>
            </w:r>
            <w:r>
              <w:rPr>
                <w:rFonts w:hint="eastAsia" w:ascii="Times New Roman" w:hAnsi="Times New Roman"/>
                <w:lang w:val="en-US" w:eastAsia="zh-CN"/>
              </w:rPr>
              <w:t>二层</w:t>
            </w:r>
            <w:r>
              <w:rPr>
                <w:rFonts w:ascii="Times New Roman" w:hAnsi="Times New Roman"/>
              </w:rPr>
              <w:t>，主要用于办公、后勤服务，不设宿舍</w:t>
            </w:r>
            <w:r>
              <w:rPr>
                <w:rFonts w:hint="eastAsia" w:ascii="Times New Roman" w:hAnsi="Times New Roman"/>
                <w:lang w:eastAsia="zh-CN"/>
              </w:rPr>
              <w:t>；</w:t>
            </w:r>
          </w:p>
        </w:tc>
        <w:tc>
          <w:tcPr>
            <w:tcW w:w="5042" w:type="dxa"/>
            <w:gridSpan w:val="2"/>
            <w:vAlign w:val="center"/>
          </w:tcPr>
          <w:p w14:paraId="164B3D46">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ascii="Times New Roman" w:hAnsi="Times New Roman"/>
              </w:rPr>
              <w:t>位于</w:t>
            </w:r>
            <w:r>
              <w:rPr>
                <w:rFonts w:hint="eastAsia" w:ascii="Times New Roman" w:hAnsi="Times New Roman"/>
              </w:rPr>
              <w:t>厂房内</w:t>
            </w:r>
            <w:r>
              <w:rPr>
                <w:rFonts w:ascii="Times New Roman" w:hAnsi="Times New Roman"/>
              </w:rPr>
              <w:t>东南侧</w:t>
            </w:r>
            <w:r>
              <w:rPr>
                <w:rFonts w:hint="eastAsia" w:ascii="Times New Roman" w:hAnsi="Times New Roman"/>
                <w:lang w:val="en-US" w:eastAsia="zh-CN"/>
              </w:rPr>
              <w:t>二层</w:t>
            </w:r>
            <w:r>
              <w:rPr>
                <w:rFonts w:ascii="Times New Roman" w:hAnsi="Times New Roman"/>
              </w:rPr>
              <w:t>，主要用于办公、后勤服务，不设宿舍</w:t>
            </w:r>
            <w:r>
              <w:rPr>
                <w:rFonts w:hint="eastAsia" w:ascii="Times New Roman" w:hAnsi="Times New Roman"/>
                <w:lang w:eastAsia="zh-CN"/>
              </w:rPr>
              <w:t>；</w:t>
            </w:r>
          </w:p>
        </w:tc>
        <w:tc>
          <w:tcPr>
            <w:tcW w:w="1958" w:type="dxa"/>
            <w:vAlign w:val="center"/>
          </w:tcPr>
          <w:p w14:paraId="3FD8004C">
            <w:pPr>
              <w:pStyle w:val="23"/>
              <w:bidi w:val="0"/>
              <w:jc w:val="center"/>
              <w:rPr>
                <w:rFonts w:hint="default" w:eastAsia="宋体"/>
                <w:lang w:val="en-US" w:eastAsia="zh-CN"/>
              </w:rPr>
            </w:pPr>
            <w:r>
              <w:rPr>
                <w:rFonts w:hint="eastAsia"/>
                <w:lang w:val="en-US" w:eastAsia="zh-CN"/>
              </w:rPr>
              <w:t>与环评一致</w:t>
            </w:r>
          </w:p>
        </w:tc>
      </w:tr>
      <w:tr w14:paraId="34139B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restart"/>
            <w:tcBorders>
              <w:top w:val="single" w:color="auto" w:sz="4" w:space="0"/>
            </w:tcBorders>
            <w:vAlign w:val="center"/>
          </w:tcPr>
          <w:p w14:paraId="5FDBA892">
            <w:pPr>
              <w:pStyle w:val="23"/>
              <w:bidi w:val="0"/>
              <w:jc w:val="center"/>
              <w:rPr>
                <w:rFonts w:hint="eastAsia" w:eastAsia="宋体"/>
                <w:lang w:eastAsia="zh-CN"/>
              </w:rPr>
            </w:pPr>
            <w:r>
              <w:t>公</w:t>
            </w:r>
            <w:r>
              <w:rPr>
                <w:rFonts w:hint="eastAsia"/>
                <w:lang w:val="en-US" w:eastAsia="zh-CN"/>
              </w:rPr>
              <w:t>用</w:t>
            </w:r>
          </w:p>
          <w:p w14:paraId="2EB2927E">
            <w:pPr>
              <w:pStyle w:val="23"/>
              <w:bidi w:val="0"/>
              <w:jc w:val="center"/>
            </w:pPr>
            <w:r>
              <w:t>工程</w:t>
            </w:r>
          </w:p>
        </w:tc>
        <w:tc>
          <w:tcPr>
            <w:tcW w:w="1074" w:type="dxa"/>
            <w:tcBorders>
              <w:top w:val="single" w:color="auto" w:sz="4" w:space="0"/>
            </w:tcBorders>
            <w:vAlign w:val="center"/>
          </w:tcPr>
          <w:p w14:paraId="022836B0">
            <w:pPr>
              <w:pStyle w:val="23"/>
              <w:bidi w:val="0"/>
              <w:jc w:val="center"/>
            </w:pPr>
            <w:r>
              <w:rPr>
                <w:rFonts w:ascii="Times New Roman" w:hAnsi="Times New Roman"/>
              </w:rPr>
              <w:t>给水系统</w:t>
            </w:r>
          </w:p>
        </w:tc>
        <w:tc>
          <w:tcPr>
            <w:tcW w:w="5258" w:type="dxa"/>
            <w:gridSpan w:val="2"/>
            <w:vAlign w:val="center"/>
          </w:tcPr>
          <w:p w14:paraId="0CBC6E95">
            <w:pPr>
              <w:pStyle w:val="23"/>
              <w:bidi w:val="0"/>
              <w:jc w:val="left"/>
              <w:rPr>
                <w:rFonts w:hint="eastAsia" w:eastAsia="宋体"/>
                <w:lang w:eastAsia="zh-CN"/>
              </w:rPr>
            </w:pPr>
            <w:r>
              <w:rPr>
                <w:rFonts w:ascii="Times New Roman" w:hAnsi="Times New Roman"/>
              </w:rPr>
              <w:t>新鲜水用于厂区工作人员办公生活、切削液配制、压铸机冷却水、脱模剂配制</w:t>
            </w:r>
            <w:r>
              <w:rPr>
                <w:rFonts w:hint="eastAsia" w:ascii="Times New Roman" w:hAnsi="Times New Roman"/>
                <w:lang w:val="en-US" w:eastAsia="zh-CN"/>
              </w:rPr>
              <w:t>用水</w:t>
            </w:r>
            <w:r>
              <w:rPr>
                <w:rFonts w:hint="eastAsia" w:ascii="Times New Roman" w:hAnsi="Times New Roman"/>
                <w:lang w:eastAsia="zh-CN"/>
              </w:rPr>
              <w:t>；</w:t>
            </w:r>
            <w:r>
              <w:rPr>
                <w:rFonts w:ascii="Times New Roman" w:hAnsi="Times New Roman"/>
              </w:rPr>
              <w:t>接自市政供水管网，本项目新鲜水使用量</w:t>
            </w:r>
            <w:r>
              <w:rPr>
                <w:rFonts w:hint="eastAsia"/>
                <w:lang w:val="en-US" w:eastAsia="zh-CN"/>
              </w:rPr>
              <w:t>2287</w:t>
            </w:r>
            <w:r>
              <w:rPr>
                <w:rFonts w:ascii="Times New Roman" w:hAnsi="Times New Roman"/>
              </w:rPr>
              <w:t>m</w:t>
            </w:r>
            <w:r>
              <w:rPr>
                <w:rFonts w:ascii="Times New Roman" w:hAnsi="Times New Roman"/>
                <w:vertAlign w:val="superscript"/>
              </w:rPr>
              <w:t>3</w:t>
            </w:r>
            <w:r>
              <w:rPr>
                <w:rFonts w:ascii="Times New Roman" w:hAnsi="Times New Roman"/>
              </w:rPr>
              <w:t>/a</w:t>
            </w:r>
            <w:r>
              <w:rPr>
                <w:rFonts w:hint="eastAsia" w:ascii="Times New Roman" w:hAnsi="Times New Roman"/>
                <w:lang w:eastAsia="zh-CN"/>
              </w:rPr>
              <w:t>；</w:t>
            </w:r>
          </w:p>
        </w:tc>
        <w:tc>
          <w:tcPr>
            <w:tcW w:w="5042" w:type="dxa"/>
            <w:gridSpan w:val="2"/>
            <w:vAlign w:val="center"/>
          </w:tcPr>
          <w:p w14:paraId="1DCD8FFF">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ascii="Times New Roman" w:hAnsi="Times New Roman"/>
              </w:rPr>
              <w:t>新鲜水用于厂区工作人员办公生活、切削液配制、压铸机冷却水、脱模剂配制</w:t>
            </w:r>
            <w:r>
              <w:rPr>
                <w:rFonts w:hint="eastAsia" w:ascii="Times New Roman" w:hAnsi="Times New Roman"/>
                <w:lang w:val="en-US" w:eastAsia="zh-CN"/>
              </w:rPr>
              <w:t>用水</w:t>
            </w:r>
            <w:r>
              <w:rPr>
                <w:rFonts w:hint="eastAsia" w:ascii="Times New Roman" w:hAnsi="Times New Roman"/>
                <w:lang w:eastAsia="zh-CN"/>
              </w:rPr>
              <w:t>；</w:t>
            </w:r>
            <w:r>
              <w:rPr>
                <w:rFonts w:ascii="Times New Roman" w:hAnsi="Times New Roman"/>
              </w:rPr>
              <w:t>接自市政供水管网，本项目新鲜水使用量</w:t>
            </w:r>
            <w:r>
              <w:rPr>
                <w:rFonts w:hint="eastAsia"/>
                <w:lang w:val="en-US" w:eastAsia="zh-CN"/>
              </w:rPr>
              <w:t>1081</w:t>
            </w:r>
            <w:r>
              <w:rPr>
                <w:rFonts w:ascii="Times New Roman" w:hAnsi="Times New Roman"/>
              </w:rPr>
              <w:t>m</w:t>
            </w:r>
            <w:r>
              <w:rPr>
                <w:rFonts w:ascii="Times New Roman" w:hAnsi="Times New Roman"/>
                <w:vertAlign w:val="superscript"/>
              </w:rPr>
              <w:t>3</w:t>
            </w:r>
            <w:r>
              <w:rPr>
                <w:rFonts w:ascii="Times New Roman" w:hAnsi="Times New Roman"/>
              </w:rPr>
              <w:t>/a</w:t>
            </w:r>
            <w:r>
              <w:rPr>
                <w:rFonts w:hint="eastAsia" w:ascii="Times New Roman" w:hAnsi="Times New Roman"/>
                <w:lang w:eastAsia="zh-CN"/>
              </w:rPr>
              <w:t>；</w:t>
            </w:r>
          </w:p>
        </w:tc>
        <w:tc>
          <w:tcPr>
            <w:tcW w:w="1958" w:type="dxa"/>
            <w:vMerge w:val="restart"/>
            <w:vAlign w:val="center"/>
          </w:tcPr>
          <w:p w14:paraId="3E9F98B4">
            <w:pPr>
              <w:pStyle w:val="23"/>
              <w:bidi w:val="0"/>
              <w:jc w:val="center"/>
              <w:rPr>
                <w:rFonts w:hint="default"/>
                <w:lang w:val="en-US" w:eastAsia="zh-CN"/>
              </w:rPr>
            </w:pPr>
            <w:r>
              <w:rPr>
                <w:rFonts w:hint="eastAsia"/>
                <w:lang w:val="en-US" w:eastAsia="zh-CN"/>
              </w:rPr>
              <w:t>本次为阶段性验收，实际用水、排水、用电、用气量均减少</w:t>
            </w:r>
          </w:p>
        </w:tc>
      </w:tr>
      <w:tr w14:paraId="0D713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7D65FFCD">
            <w:pPr>
              <w:pStyle w:val="23"/>
              <w:bidi w:val="0"/>
              <w:jc w:val="center"/>
            </w:pPr>
          </w:p>
        </w:tc>
        <w:tc>
          <w:tcPr>
            <w:tcW w:w="1074" w:type="dxa"/>
            <w:vAlign w:val="center"/>
          </w:tcPr>
          <w:p w14:paraId="69A3BBB1">
            <w:pPr>
              <w:pStyle w:val="23"/>
              <w:bidi w:val="0"/>
              <w:jc w:val="center"/>
              <w:rPr>
                <w:rFonts w:hint="eastAsia" w:eastAsia="宋体"/>
                <w:lang w:eastAsia="zh-CN"/>
              </w:rPr>
            </w:pPr>
            <w:r>
              <w:rPr>
                <w:rFonts w:ascii="Times New Roman" w:hAnsi="Times New Roman"/>
              </w:rPr>
              <w:t>排水系统</w:t>
            </w:r>
          </w:p>
        </w:tc>
        <w:tc>
          <w:tcPr>
            <w:tcW w:w="5258" w:type="dxa"/>
            <w:gridSpan w:val="2"/>
            <w:vAlign w:val="center"/>
          </w:tcPr>
          <w:p w14:paraId="79687E41">
            <w:pPr>
              <w:pStyle w:val="23"/>
              <w:bidi w:val="0"/>
              <w:jc w:val="left"/>
              <w:rPr>
                <w:rFonts w:hint="eastAsia" w:eastAsia="宋体"/>
                <w:lang w:eastAsia="zh-CN"/>
              </w:rPr>
            </w:pPr>
            <w:r>
              <w:rPr>
                <w:rFonts w:ascii="Times New Roman" w:hAnsi="Times New Roman"/>
              </w:rPr>
              <w:t>项目生活污水经化粪池处理后</w:t>
            </w:r>
            <w:r>
              <w:rPr>
                <w:rFonts w:hint="eastAsia" w:ascii="Times New Roman" w:hAnsi="Times New Roman"/>
                <w:lang w:val="en-US" w:eastAsia="zh-CN"/>
              </w:rPr>
              <w:t>与循环系统排水一同</w:t>
            </w:r>
            <w:r>
              <w:rPr>
                <w:rFonts w:ascii="Times New Roman" w:hAnsi="Times New Roman"/>
              </w:rPr>
              <w:t>通过市政污水管网排入江南产业集中区第一污水处理厂，深度处理达标后最终经九华河排入长江</w:t>
            </w:r>
            <w:r>
              <w:rPr>
                <w:rFonts w:hint="eastAsia" w:ascii="Times New Roman" w:hAnsi="Times New Roman"/>
                <w:lang w:eastAsia="zh-CN"/>
              </w:rPr>
              <w:t>；</w:t>
            </w:r>
          </w:p>
        </w:tc>
        <w:tc>
          <w:tcPr>
            <w:tcW w:w="5042" w:type="dxa"/>
            <w:gridSpan w:val="2"/>
            <w:vAlign w:val="center"/>
          </w:tcPr>
          <w:p w14:paraId="6F1B4901">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ascii="Times New Roman" w:hAnsi="Times New Roman"/>
              </w:rPr>
              <w:t>项目生活污水经化粪池处理后</w:t>
            </w:r>
            <w:r>
              <w:rPr>
                <w:rFonts w:hint="eastAsia" w:ascii="Times New Roman" w:hAnsi="Times New Roman"/>
                <w:lang w:val="en-US" w:eastAsia="zh-CN"/>
              </w:rPr>
              <w:t>与循环系统排水一同</w:t>
            </w:r>
            <w:r>
              <w:rPr>
                <w:rFonts w:ascii="Times New Roman" w:hAnsi="Times New Roman"/>
              </w:rPr>
              <w:t>通过市政污水管网排入江南产业集中区第一污水处理厂，深度处理达标后最终经九华河排入长江</w:t>
            </w:r>
            <w:r>
              <w:rPr>
                <w:rFonts w:hint="eastAsia" w:ascii="Times New Roman" w:hAnsi="Times New Roman"/>
                <w:lang w:eastAsia="zh-CN"/>
              </w:rPr>
              <w:t>；</w:t>
            </w:r>
          </w:p>
        </w:tc>
        <w:tc>
          <w:tcPr>
            <w:tcW w:w="1958" w:type="dxa"/>
            <w:vMerge w:val="continue"/>
            <w:vAlign w:val="center"/>
          </w:tcPr>
          <w:p w14:paraId="30686955">
            <w:pPr>
              <w:pStyle w:val="23"/>
              <w:bidi w:val="0"/>
              <w:jc w:val="center"/>
            </w:pPr>
          </w:p>
        </w:tc>
      </w:tr>
      <w:tr w14:paraId="08CE91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7E78AE19">
            <w:pPr>
              <w:pStyle w:val="23"/>
              <w:bidi w:val="0"/>
              <w:jc w:val="center"/>
            </w:pPr>
          </w:p>
        </w:tc>
        <w:tc>
          <w:tcPr>
            <w:tcW w:w="1074" w:type="dxa"/>
            <w:shd w:val="clear" w:color="auto" w:fill="auto"/>
            <w:vAlign w:val="center"/>
          </w:tcPr>
          <w:p w14:paraId="72894C44">
            <w:pPr>
              <w:pStyle w:val="23"/>
              <w:ind w:left="0" w:leftChars="0" w:right="0" w:rightChars="0" w:firstLine="0" w:firstLineChars="0"/>
              <w:rPr>
                <w:rFonts w:hint="eastAsia" w:ascii="Times New Roman" w:hAnsi="Times New Roman" w:eastAsia="宋体" w:cs="Times New Roman"/>
                <w:kern w:val="2"/>
                <w:sz w:val="21"/>
                <w:szCs w:val="20"/>
                <w:lang w:val="en-US" w:eastAsia="zh-CN" w:bidi="ar"/>
              </w:rPr>
            </w:pPr>
            <w:r>
              <w:rPr>
                <w:rFonts w:ascii="Times New Roman" w:hAnsi="Times New Roman"/>
              </w:rPr>
              <w:t>供电系统</w:t>
            </w:r>
          </w:p>
        </w:tc>
        <w:tc>
          <w:tcPr>
            <w:tcW w:w="5258" w:type="dxa"/>
            <w:gridSpan w:val="2"/>
            <w:vAlign w:val="center"/>
          </w:tcPr>
          <w:p w14:paraId="299A7A22">
            <w:pPr>
              <w:pStyle w:val="23"/>
              <w:ind w:left="0" w:leftChars="0" w:right="0" w:rightChars="0" w:firstLine="0" w:firstLineChars="0"/>
              <w:jc w:val="left"/>
              <w:rPr>
                <w:rFonts w:hint="eastAsia" w:eastAsia="宋体"/>
                <w:lang w:eastAsia="zh-CN"/>
              </w:rPr>
            </w:pPr>
            <w:r>
              <w:rPr>
                <w:rFonts w:ascii="Times New Roman" w:hAnsi="Times New Roman"/>
              </w:rPr>
              <w:t>接自市政供电管网，本项目用电量10万kWh/a</w:t>
            </w:r>
            <w:r>
              <w:rPr>
                <w:rFonts w:hint="eastAsia" w:ascii="Times New Roman" w:hAnsi="Times New Roman"/>
                <w:lang w:eastAsia="zh-CN"/>
              </w:rPr>
              <w:t>；</w:t>
            </w:r>
          </w:p>
        </w:tc>
        <w:tc>
          <w:tcPr>
            <w:tcW w:w="5042" w:type="dxa"/>
            <w:gridSpan w:val="2"/>
            <w:shd w:val="clear" w:color="auto" w:fill="auto"/>
            <w:vAlign w:val="center"/>
          </w:tcPr>
          <w:p w14:paraId="0F6D1AA8">
            <w:pPr>
              <w:pStyle w:val="23"/>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ascii="Times New Roman" w:hAnsi="Times New Roman"/>
              </w:rPr>
              <w:t>接自市政供电管网，本项目用电量</w:t>
            </w:r>
            <w:r>
              <w:rPr>
                <w:rFonts w:hint="eastAsia"/>
                <w:lang w:val="en-US" w:eastAsia="zh-CN"/>
              </w:rPr>
              <w:t>4</w:t>
            </w:r>
            <w:r>
              <w:rPr>
                <w:rFonts w:ascii="Times New Roman" w:hAnsi="Times New Roman"/>
              </w:rPr>
              <w:t>万kWh/a</w:t>
            </w:r>
            <w:r>
              <w:rPr>
                <w:rFonts w:hint="eastAsia" w:ascii="Times New Roman" w:hAnsi="Times New Roman"/>
                <w:lang w:eastAsia="zh-CN"/>
              </w:rPr>
              <w:t>；</w:t>
            </w:r>
          </w:p>
        </w:tc>
        <w:tc>
          <w:tcPr>
            <w:tcW w:w="1958" w:type="dxa"/>
            <w:vMerge w:val="continue"/>
            <w:vAlign w:val="center"/>
          </w:tcPr>
          <w:p w14:paraId="32CED6C5">
            <w:pPr>
              <w:pStyle w:val="23"/>
              <w:bidi w:val="0"/>
              <w:jc w:val="center"/>
              <w:rPr>
                <w:rFonts w:hint="default"/>
                <w:lang w:val="en-US" w:eastAsia="zh-CN"/>
              </w:rPr>
            </w:pPr>
          </w:p>
        </w:tc>
      </w:tr>
      <w:tr w14:paraId="401C5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 w:hRule="atLeast"/>
          <w:jc w:val="center"/>
        </w:trPr>
        <w:tc>
          <w:tcPr>
            <w:tcW w:w="561" w:type="dxa"/>
            <w:vMerge w:val="continue"/>
            <w:vAlign w:val="center"/>
          </w:tcPr>
          <w:p w14:paraId="0BB86CB1">
            <w:pPr>
              <w:pStyle w:val="23"/>
              <w:bidi w:val="0"/>
              <w:jc w:val="center"/>
            </w:pPr>
          </w:p>
        </w:tc>
        <w:tc>
          <w:tcPr>
            <w:tcW w:w="1074" w:type="dxa"/>
            <w:shd w:val="clear" w:color="auto" w:fill="auto"/>
            <w:vAlign w:val="center"/>
          </w:tcPr>
          <w:p w14:paraId="26F1102F">
            <w:pPr>
              <w:pStyle w:val="23"/>
              <w:ind w:left="0" w:leftChars="0" w:right="0" w:rightChars="0" w:firstLine="0" w:firstLineChars="0"/>
              <w:rPr>
                <w:rFonts w:hint="eastAsia" w:ascii="Times New Roman" w:hAnsi="Times New Roman" w:eastAsia="宋体" w:cs="Times New Roman"/>
                <w:kern w:val="2"/>
                <w:sz w:val="21"/>
                <w:szCs w:val="20"/>
                <w:lang w:val="en-US" w:eastAsia="zh-CN" w:bidi="ar"/>
              </w:rPr>
            </w:pPr>
            <w:r>
              <w:rPr>
                <w:rFonts w:ascii="Times New Roman" w:hAnsi="Times New Roman"/>
              </w:rPr>
              <w:t>供气系统</w:t>
            </w:r>
          </w:p>
        </w:tc>
        <w:tc>
          <w:tcPr>
            <w:tcW w:w="5258" w:type="dxa"/>
            <w:gridSpan w:val="2"/>
            <w:vAlign w:val="center"/>
          </w:tcPr>
          <w:p w14:paraId="70639842">
            <w:pPr>
              <w:pStyle w:val="23"/>
              <w:ind w:left="0" w:leftChars="0" w:right="0" w:rightChars="0" w:firstLine="0" w:firstLineChars="0"/>
              <w:jc w:val="left"/>
            </w:pPr>
            <w:r>
              <w:rPr>
                <w:rFonts w:ascii="Times New Roman" w:hAnsi="Times New Roman"/>
              </w:rPr>
              <w:t>接自市政供气管网，本项目天然气用量48万m</w:t>
            </w:r>
            <w:r>
              <w:rPr>
                <w:rFonts w:ascii="Times New Roman" w:hAnsi="Times New Roman"/>
                <w:vertAlign w:val="superscript"/>
              </w:rPr>
              <w:t>3</w:t>
            </w:r>
            <w:r>
              <w:rPr>
                <w:rFonts w:ascii="Times New Roman" w:hAnsi="Times New Roman"/>
              </w:rPr>
              <w:t>/a</w:t>
            </w:r>
            <w:r>
              <w:rPr>
                <w:rFonts w:hint="eastAsia" w:ascii="Times New Roman" w:hAnsi="Times New Roman"/>
                <w:lang w:eastAsia="zh-CN"/>
              </w:rPr>
              <w:t>；</w:t>
            </w:r>
          </w:p>
        </w:tc>
        <w:tc>
          <w:tcPr>
            <w:tcW w:w="5042" w:type="dxa"/>
            <w:gridSpan w:val="2"/>
            <w:shd w:val="clear" w:color="auto" w:fill="auto"/>
            <w:vAlign w:val="center"/>
          </w:tcPr>
          <w:p w14:paraId="7B33258A">
            <w:pPr>
              <w:pStyle w:val="23"/>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ascii="Times New Roman" w:hAnsi="Times New Roman"/>
              </w:rPr>
              <w:t>接自市政供气管网，本项目天然气用量</w:t>
            </w:r>
            <w:r>
              <w:rPr>
                <w:rFonts w:hint="eastAsia"/>
                <w:lang w:val="en-US" w:eastAsia="zh-CN"/>
              </w:rPr>
              <w:t>20</w:t>
            </w:r>
            <w:r>
              <w:rPr>
                <w:rFonts w:ascii="Times New Roman" w:hAnsi="Times New Roman"/>
              </w:rPr>
              <w:t>万m</w:t>
            </w:r>
            <w:r>
              <w:rPr>
                <w:rFonts w:ascii="Times New Roman" w:hAnsi="Times New Roman"/>
                <w:vertAlign w:val="superscript"/>
              </w:rPr>
              <w:t>3</w:t>
            </w:r>
            <w:r>
              <w:rPr>
                <w:rFonts w:ascii="Times New Roman" w:hAnsi="Times New Roman"/>
              </w:rPr>
              <w:t>/a</w:t>
            </w:r>
            <w:r>
              <w:rPr>
                <w:rFonts w:hint="eastAsia" w:ascii="Times New Roman" w:hAnsi="Times New Roman"/>
                <w:lang w:eastAsia="zh-CN"/>
              </w:rPr>
              <w:t>；</w:t>
            </w:r>
          </w:p>
        </w:tc>
        <w:tc>
          <w:tcPr>
            <w:tcW w:w="1958" w:type="dxa"/>
            <w:vMerge w:val="continue"/>
            <w:vAlign w:val="center"/>
          </w:tcPr>
          <w:p w14:paraId="1B2AF315">
            <w:pPr>
              <w:pStyle w:val="23"/>
              <w:bidi w:val="0"/>
              <w:jc w:val="center"/>
              <w:rPr>
                <w:rFonts w:hint="default"/>
                <w:lang w:val="en-US" w:eastAsia="zh-CN"/>
              </w:rPr>
            </w:pPr>
          </w:p>
        </w:tc>
      </w:tr>
      <w:tr w14:paraId="58A08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jc w:val="center"/>
        </w:trPr>
        <w:tc>
          <w:tcPr>
            <w:tcW w:w="561" w:type="dxa"/>
            <w:vMerge w:val="restart"/>
            <w:vAlign w:val="center"/>
          </w:tcPr>
          <w:p w14:paraId="0587849A">
            <w:pPr>
              <w:pStyle w:val="23"/>
              <w:bidi w:val="0"/>
              <w:jc w:val="center"/>
            </w:pPr>
            <w:r>
              <w:t>储运工程</w:t>
            </w:r>
          </w:p>
        </w:tc>
        <w:tc>
          <w:tcPr>
            <w:tcW w:w="1074" w:type="dxa"/>
            <w:vAlign w:val="center"/>
          </w:tcPr>
          <w:p w14:paraId="1E252D9A">
            <w:pPr>
              <w:pStyle w:val="14"/>
              <w:keepNext w:val="0"/>
              <w:keepLines w:val="0"/>
              <w:widowControl w:val="0"/>
              <w:suppressLineNumbers w:val="0"/>
              <w:adjustRightInd w:val="0"/>
              <w:snapToGrid w:val="0"/>
              <w:spacing w:before="0" w:beforeAutospacing="0" w:after="0" w:afterAutospacing="0"/>
              <w:jc w:val="center"/>
              <w:rPr>
                <w:rFonts w:hint="default"/>
              </w:rPr>
            </w:pPr>
            <w:r>
              <w:rPr>
                <w:rFonts w:hint="eastAsia" w:ascii="Times New Roman" w:hAnsi="Times New Roman"/>
                <w:sz w:val="21"/>
                <w:szCs w:val="21"/>
                <w:lang w:val="en-US" w:eastAsia="zh-CN" w:bidi="ar"/>
              </w:rPr>
              <w:t>半成品堆放区</w:t>
            </w:r>
          </w:p>
        </w:tc>
        <w:tc>
          <w:tcPr>
            <w:tcW w:w="5258" w:type="dxa"/>
            <w:gridSpan w:val="2"/>
            <w:vAlign w:val="center"/>
          </w:tcPr>
          <w:p w14:paraId="7E9B34D1">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default"/>
              </w:rPr>
            </w:pPr>
            <w:r>
              <w:rPr>
                <w:rFonts w:hint="default" w:ascii="Times New Roman" w:hAnsi="Times New Roman"/>
                <w:sz w:val="21"/>
                <w:szCs w:val="21"/>
                <w:lang w:bidi="ar"/>
              </w:rPr>
              <w:t>布置在车间</w:t>
            </w:r>
            <w:r>
              <w:rPr>
                <w:rFonts w:hint="eastAsia" w:ascii="Times New Roman" w:hAnsi="Times New Roman"/>
                <w:sz w:val="21"/>
                <w:szCs w:val="21"/>
                <w:lang w:val="en-US" w:eastAsia="zh-CN" w:bidi="ar"/>
              </w:rPr>
              <w:t>中部</w:t>
            </w:r>
            <w:r>
              <w:rPr>
                <w:rFonts w:hint="default" w:ascii="Times New Roman" w:hAnsi="Times New Roman"/>
                <w:sz w:val="21"/>
                <w:szCs w:val="21"/>
                <w:lang w:bidi="ar"/>
              </w:rPr>
              <w:t>，用来存储</w:t>
            </w:r>
            <w:r>
              <w:rPr>
                <w:rFonts w:hint="eastAsia" w:ascii="Times New Roman" w:hAnsi="Times New Roman"/>
                <w:sz w:val="21"/>
                <w:szCs w:val="21"/>
                <w:lang w:val="en-US" w:eastAsia="zh-CN" w:bidi="ar"/>
              </w:rPr>
              <w:t>需要机加工半成品，占地面积约50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5042" w:type="dxa"/>
            <w:gridSpan w:val="2"/>
            <w:vAlign w:val="center"/>
          </w:tcPr>
          <w:p w14:paraId="363352BA">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eastAsia="宋体" w:cs="Times New Roman"/>
                <w:kern w:val="2"/>
                <w:sz w:val="21"/>
                <w:szCs w:val="20"/>
                <w:lang w:val="en-US" w:eastAsia="zh-CN" w:bidi="ar"/>
              </w:rPr>
            </w:pPr>
            <w:r>
              <w:rPr>
                <w:rFonts w:hint="default" w:ascii="Times New Roman" w:hAnsi="Times New Roman"/>
                <w:sz w:val="21"/>
                <w:szCs w:val="21"/>
                <w:lang w:bidi="ar"/>
              </w:rPr>
              <w:t>布置在车间</w:t>
            </w:r>
            <w:r>
              <w:rPr>
                <w:rFonts w:hint="eastAsia" w:ascii="Times New Roman" w:hAnsi="Times New Roman"/>
                <w:sz w:val="21"/>
                <w:szCs w:val="21"/>
                <w:lang w:val="en-US" w:eastAsia="zh-CN" w:bidi="ar"/>
              </w:rPr>
              <w:t>中部</w:t>
            </w:r>
            <w:r>
              <w:rPr>
                <w:rFonts w:hint="default" w:ascii="Times New Roman" w:hAnsi="Times New Roman"/>
                <w:sz w:val="21"/>
                <w:szCs w:val="21"/>
                <w:lang w:bidi="ar"/>
              </w:rPr>
              <w:t>，用来存储</w:t>
            </w:r>
            <w:r>
              <w:rPr>
                <w:rFonts w:hint="eastAsia" w:ascii="Times New Roman" w:hAnsi="Times New Roman"/>
                <w:sz w:val="21"/>
                <w:szCs w:val="21"/>
                <w:lang w:val="en-US" w:eastAsia="zh-CN" w:bidi="ar"/>
              </w:rPr>
              <w:t>需要机加工半成品，占地面积约50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1958" w:type="dxa"/>
            <w:vAlign w:val="center"/>
          </w:tcPr>
          <w:p w14:paraId="625B0B44">
            <w:pPr>
              <w:pStyle w:val="23"/>
              <w:bidi w:val="0"/>
              <w:jc w:val="center"/>
            </w:pPr>
            <w:r>
              <w:rPr>
                <w:rFonts w:hint="eastAsia"/>
                <w:lang w:val="en-US" w:eastAsia="zh-CN"/>
              </w:rPr>
              <w:t>与环评一致</w:t>
            </w:r>
          </w:p>
        </w:tc>
      </w:tr>
      <w:tr w14:paraId="31C72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650F64B8">
            <w:pPr>
              <w:pStyle w:val="23"/>
              <w:bidi w:val="0"/>
              <w:jc w:val="center"/>
            </w:pPr>
          </w:p>
        </w:tc>
        <w:tc>
          <w:tcPr>
            <w:tcW w:w="1074" w:type="dxa"/>
            <w:vAlign w:val="center"/>
          </w:tcPr>
          <w:p w14:paraId="02679B23">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jc w:val="center"/>
              <w:rPr>
                <w:rFonts w:hint="default"/>
              </w:rPr>
            </w:pPr>
            <w:r>
              <w:rPr>
                <w:rFonts w:hint="eastAsia" w:ascii="Times New Roman" w:hAnsi="Times New Roman"/>
                <w:sz w:val="21"/>
                <w:szCs w:val="21"/>
                <w:lang w:val="en-US" w:eastAsia="zh-CN" w:bidi="ar"/>
              </w:rPr>
              <w:t>铝锭堆放区</w:t>
            </w:r>
          </w:p>
        </w:tc>
        <w:tc>
          <w:tcPr>
            <w:tcW w:w="5258" w:type="dxa"/>
            <w:gridSpan w:val="2"/>
            <w:vAlign w:val="center"/>
          </w:tcPr>
          <w:p w14:paraId="27019DD5">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default"/>
              </w:rPr>
            </w:pPr>
            <w:r>
              <w:rPr>
                <w:rFonts w:hint="default" w:ascii="Times New Roman" w:hAnsi="Times New Roman"/>
                <w:sz w:val="21"/>
                <w:szCs w:val="21"/>
                <w:lang w:bidi="ar"/>
              </w:rPr>
              <w:t>布置在车间</w:t>
            </w:r>
            <w:r>
              <w:rPr>
                <w:rFonts w:hint="eastAsia" w:ascii="Times New Roman" w:hAnsi="Times New Roman"/>
                <w:sz w:val="21"/>
                <w:szCs w:val="21"/>
                <w:lang w:val="en-US" w:eastAsia="zh-CN" w:bidi="ar"/>
              </w:rPr>
              <w:t>南侧中部，</w:t>
            </w:r>
            <w:r>
              <w:rPr>
                <w:rFonts w:hint="default" w:ascii="Times New Roman" w:hAnsi="Times New Roman"/>
                <w:sz w:val="21"/>
                <w:szCs w:val="21"/>
                <w:lang w:bidi="ar"/>
              </w:rPr>
              <w:t>用来存储</w:t>
            </w:r>
            <w:r>
              <w:rPr>
                <w:rFonts w:hint="eastAsia" w:ascii="Times New Roman" w:hAnsi="Times New Roman"/>
                <w:sz w:val="21"/>
                <w:szCs w:val="21"/>
                <w:lang w:val="en-US" w:eastAsia="zh-CN" w:bidi="ar"/>
              </w:rPr>
              <w:t>外购标准铝锭，占地面积约100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5042" w:type="dxa"/>
            <w:gridSpan w:val="2"/>
            <w:vAlign w:val="center"/>
          </w:tcPr>
          <w:p w14:paraId="2FEEECCF">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eastAsia="宋体" w:cs="Times New Roman"/>
                <w:kern w:val="2"/>
                <w:sz w:val="21"/>
                <w:szCs w:val="20"/>
                <w:lang w:val="en-US" w:eastAsia="zh-CN" w:bidi="ar"/>
              </w:rPr>
            </w:pPr>
            <w:r>
              <w:rPr>
                <w:rFonts w:hint="default" w:ascii="Times New Roman" w:hAnsi="Times New Roman"/>
                <w:sz w:val="21"/>
                <w:szCs w:val="21"/>
                <w:lang w:bidi="ar"/>
              </w:rPr>
              <w:t>布置在车间</w:t>
            </w:r>
            <w:r>
              <w:rPr>
                <w:rFonts w:hint="eastAsia" w:ascii="Times New Roman" w:hAnsi="Times New Roman"/>
                <w:sz w:val="21"/>
                <w:szCs w:val="21"/>
                <w:lang w:val="en-US" w:eastAsia="zh-CN" w:bidi="ar"/>
              </w:rPr>
              <w:t>南侧中部，</w:t>
            </w:r>
            <w:r>
              <w:rPr>
                <w:rFonts w:hint="default" w:ascii="Times New Roman" w:hAnsi="Times New Roman"/>
                <w:sz w:val="21"/>
                <w:szCs w:val="21"/>
                <w:lang w:bidi="ar"/>
              </w:rPr>
              <w:t>用来存储</w:t>
            </w:r>
            <w:r>
              <w:rPr>
                <w:rFonts w:hint="eastAsia" w:ascii="Times New Roman" w:hAnsi="Times New Roman"/>
                <w:sz w:val="21"/>
                <w:szCs w:val="21"/>
                <w:lang w:val="en-US" w:eastAsia="zh-CN" w:bidi="ar"/>
              </w:rPr>
              <w:t>外购标准铝锭，占地面积约100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1958" w:type="dxa"/>
            <w:vAlign w:val="center"/>
          </w:tcPr>
          <w:p w14:paraId="0113B3BD">
            <w:pPr>
              <w:pStyle w:val="23"/>
              <w:bidi w:val="0"/>
              <w:jc w:val="center"/>
            </w:pPr>
            <w:r>
              <w:rPr>
                <w:rFonts w:hint="eastAsia"/>
                <w:lang w:val="en-US" w:eastAsia="zh-CN"/>
              </w:rPr>
              <w:t>与环评一致</w:t>
            </w:r>
          </w:p>
        </w:tc>
      </w:tr>
      <w:tr w14:paraId="0AE95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0AF81C19">
            <w:pPr>
              <w:pStyle w:val="23"/>
              <w:bidi w:val="0"/>
              <w:jc w:val="center"/>
            </w:pPr>
          </w:p>
        </w:tc>
        <w:tc>
          <w:tcPr>
            <w:tcW w:w="1074" w:type="dxa"/>
            <w:vAlign w:val="center"/>
          </w:tcPr>
          <w:p w14:paraId="741327BC">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jc w:val="center"/>
              <w:rPr>
                <w:rFonts w:hint="eastAsia" w:ascii="Times New Roman" w:hAnsi="Times New Roman"/>
                <w:sz w:val="21"/>
                <w:szCs w:val="21"/>
                <w:lang w:val="en-US" w:eastAsia="zh-CN" w:bidi="ar"/>
              </w:rPr>
            </w:pPr>
            <w:r>
              <w:rPr>
                <w:rFonts w:hint="eastAsia" w:ascii="Times New Roman" w:hAnsi="Times New Roman"/>
                <w:sz w:val="21"/>
                <w:szCs w:val="21"/>
                <w:lang w:val="en-US" w:eastAsia="zh-CN" w:bidi="ar"/>
              </w:rPr>
              <w:t>成品库</w:t>
            </w:r>
          </w:p>
        </w:tc>
        <w:tc>
          <w:tcPr>
            <w:tcW w:w="5258" w:type="dxa"/>
            <w:gridSpan w:val="2"/>
            <w:vAlign w:val="center"/>
          </w:tcPr>
          <w:p w14:paraId="11AD0962">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default"/>
              </w:rPr>
            </w:pPr>
            <w:r>
              <w:rPr>
                <w:rFonts w:hint="eastAsia" w:ascii="Times New Roman" w:hAnsi="Times New Roman"/>
                <w:sz w:val="21"/>
                <w:szCs w:val="21"/>
                <w:lang w:val="en-US" w:eastAsia="zh-CN" w:bidi="ar"/>
              </w:rPr>
              <w:t>布置在车间东南角，用于存储成品，占地面积约150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5042" w:type="dxa"/>
            <w:gridSpan w:val="2"/>
            <w:vAlign w:val="center"/>
          </w:tcPr>
          <w:p w14:paraId="6B4D3360">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default"/>
              </w:rPr>
            </w:pPr>
            <w:r>
              <w:rPr>
                <w:rFonts w:hint="eastAsia" w:ascii="Times New Roman" w:hAnsi="Times New Roman"/>
                <w:sz w:val="21"/>
                <w:szCs w:val="21"/>
                <w:lang w:val="en-US" w:eastAsia="zh-CN" w:bidi="ar"/>
              </w:rPr>
              <w:t>布置在车间东南角，用于存储成品，占地面积约150</w:t>
            </w:r>
            <w:r>
              <w:rPr>
                <w:rFonts w:hint="default" w:ascii="Times New Roman" w:hAnsi="Times New Roman"/>
              </w:rPr>
              <w:t>m</w:t>
            </w:r>
            <w:r>
              <w:rPr>
                <w:rFonts w:hint="default" w:ascii="Times New Roman" w:hAnsi="Times New Roman"/>
                <w:vertAlign w:val="superscript"/>
              </w:rPr>
              <w:t>2</w:t>
            </w:r>
            <w:r>
              <w:rPr>
                <w:rFonts w:hint="eastAsia" w:ascii="Times New Roman" w:hAnsi="Times New Roman"/>
                <w:vertAlign w:val="baseline"/>
                <w:lang w:eastAsia="zh-CN"/>
              </w:rPr>
              <w:t>；</w:t>
            </w:r>
          </w:p>
        </w:tc>
        <w:tc>
          <w:tcPr>
            <w:tcW w:w="1958" w:type="dxa"/>
            <w:vAlign w:val="center"/>
          </w:tcPr>
          <w:p w14:paraId="646E2807">
            <w:pPr>
              <w:pStyle w:val="23"/>
              <w:bidi w:val="0"/>
              <w:jc w:val="center"/>
              <w:rPr>
                <w:rFonts w:hint="eastAsia"/>
                <w:lang w:val="en-US" w:eastAsia="zh-CN"/>
              </w:rPr>
            </w:pPr>
            <w:r>
              <w:rPr>
                <w:rFonts w:hint="eastAsia"/>
                <w:lang w:val="en-US" w:eastAsia="zh-CN"/>
              </w:rPr>
              <w:t>与环评一致</w:t>
            </w:r>
          </w:p>
        </w:tc>
      </w:tr>
      <w:tr w14:paraId="247D9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709ACF14">
            <w:pPr>
              <w:pStyle w:val="23"/>
              <w:bidi w:val="0"/>
              <w:jc w:val="center"/>
            </w:pPr>
          </w:p>
        </w:tc>
        <w:tc>
          <w:tcPr>
            <w:tcW w:w="1074" w:type="dxa"/>
            <w:vAlign w:val="center"/>
          </w:tcPr>
          <w:p w14:paraId="330CA9C6">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jc w:val="center"/>
              <w:rPr>
                <w:rFonts w:hint="eastAsia" w:ascii="Times New Roman" w:hAnsi="Times New Roman"/>
                <w:sz w:val="21"/>
                <w:szCs w:val="21"/>
                <w:lang w:val="en-US" w:eastAsia="zh-CN" w:bidi="ar"/>
              </w:rPr>
            </w:pPr>
            <w:r>
              <w:rPr>
                <w:rFonts w:hint="default" w:ascii="Times New Roman" w:hAnsi="Times New Roman"/>
                <w:sz w:val="21"/>
                <w:szCs w:val="21"/>
                <w:lang w:bidi="ar"/>
              </w:rPr>
              <w:t>厂外运输</w:t>
            </w:r>
          </w:p>
        </w:tc>
        <w:tc>
          <w:tcPr>
            <w:tcW w:w="5258" w:type="dxa"/>
            <w:gridSpan w:val="2"/>
            <w:vAlign w:val="center"/>
          </w:tcPr>
          <w:p w14:paraId="1E0AB8D1">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sz w:val="21"/>
                <w:szCs w:val="21"/>
                <w:lang w:val="en-US" w:eastAsia="zh-CN" w:bidi="ar"/>
              </w:rPr>
            </w:pPr>
            <w:r>
              <w:rPr>
                <w:rFonts w:hint="default" w:ascii="Times New Roman" w:hAnsi="Times New Roman"/>
                <w:sz w:val="21"/>
                <w:szCs w:val="21"/>
                <w:lang w:bidi="ar"/>
              </w:rPr>
              <w:t>厂外运输主要委托当地运输部门承运</w:t>
            </w:r>
            <w:r>
              <w:rPr>
                <w:rFonts w:hint="eastAsia" w:ascii="Times New Roman" w:hAnsi="Times New Roman"/>
                <w:sz w:val="21"/>
                <w:szCs w:val="21"/>
                <w:lang w:eastAsia="zh-CN" w:bidi="ar"/>
              </w:rPr>
              <w:t>；</w:t>
            </w:r>
          </w:p>
        </w:tc>
        <w:tc>
          <w:tcPr>
            <w:tcW w:w="5042" w:type="dxa"/>
            <w:gridSpan w:val="2"/>
            <w:vAlign w:val="center"/>
          </w:tcPr>
          <w:p w14:paraId="08495F73">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sz w:val="21"/>
                <w:szCs w:val="21"/>
                <w:lang w:val="en-US" w:eastAsia="zh-CN" w:bidi="ar"/>
              </w:rPr>
            </w:pPr>
            <w:r>
              <w:rPr>
                <w:rFonts w:hint="default" w:ascii="Times New Roman" w:hAnsi="Times New Roman"/>
                <w:sz w:val="21"/>
                <w:szCs w:val="21"/>
                <w:lang w:bidi="ar"/>
              </w:rPr>
              <w:t>厂外运输主要委托当地运输部门承运</w:t>
            </w:r>
            <w:r>
              <w:rPr>
                <w:rFonts w:hint="eastAsia" w:ascii="Times New Roman" w:hAnsi="Times New Roman"/>
                <w:sz w:val="21"/>
                <w:szCs w:val="21"/>
                <w:lang w:eastAsia="zh-CN" w:bidi="ar"/>
              </w:rPr>
              <w:t>；</w:t>
            </w:r>
          </w:p>
        </w:tc>
        <w:tc>
          <w:tcPr>
            <w:tcW w:w="1958" w:type="dxa"/>
            <w:vAlign w:val="center"/>
          </w:tcPr>
          <w:p w14:paraId="4C6EA85F">
            <w:pPr>
              <w:pStyle w:val="23"/>
              <w:bidi w:val="0"/>
              <w:ind w:left="0" w:leftChars="0" w:right="0" w:rightChars="0" w:firstLine="0" w:firstLineChars="0"/>
              <w:jc w:val="center"/>
              <w:rPr>
                <w:rFonts w:hint="eastAsia"/>
                <w:lang w:val="en-US" w:eastAsia="zh-CN"/>
              </w:rPr>
            </w:pPr>
            <w:r>
              <w:rPr>
                <w:rFonts w:hint="eastAsia"/>
                <w:lang w:val="en-US" w:eastAsia="zh-CN"/>
              </w:rPr>
              <w:t>与环评一致</w:t>
            </w:r>
          </w:p>
        </w:tc>
      </w:tr>
      <w:tr w14:paraId="30AB8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 w:hRule="atLeast"/>
          <w:jc w:val="center"/>
        </w:trPr>
        <w:tc>
          <w:tcPr>
            <w:tcW w:w="561" w:type="dxa"/>
            <w:vMerge w:val="continue"/>
            <w:vAlign w:val="center"/>
          </w:tcPr>
          <w:p w14:paraId="62364AD4">
            <w:pPr>
              <w:pStyle w:val="23"/>
              <w:bidi w:val="0"/>
              <w:jc w:val="center"/>
            </w:pPr>
          </w:p>
        </w:tc>
        <w:tc>
          <w:tcPr>
            <w:tcW w:w="1074" w:type="dxa"/>
            <w:vAlign w:val="center"/>
          </w:tcPr>
          <w:p w14:paraId="133FFAF3">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jc w:val="center"/>
              <w:rPr>
                <w:rFonts w:hint="eastAsia" w:ascii="Times New Roman" w:hAnsi="Times New Roman"/>
                <w:sz w:val="21"/>
                <w:szCs w:val="21"/>
                <w:lang w:val="en-US" w:eastAsia="zh-CN" w:bidi="ar"/>
              </w:rPr>
            </w:pPr>
            <w:r>
              <w:rPr>
                <w:rFonts w:hint="default" w:ascii="Times New Roman" w:hAnsi="Times New Roman"/>
                <w:sz w:val="21"/>
                <w:szCs w:val="21"/>
                <w:lang w:bidi="ar"/>
              </w:rPr>
              <w:t>厂内运输</w:t>
            </w:r>
          </w:p>
        </w:tc>
        <w:tc>
          <w:tcPr>
            <w:tcW w:w="5258" w:type="dxa"/>
            <w:gridSpan w:val="2"/>
            <w:vAlign w:val="center"/>
          </w:tcPr>
          <w:p w14:paraId="75FC7EC5">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eastAsia="宋体"/>
                <w:sz w:val="21"/>
                <w:szCs w:val="21"/>
                <w:lang w:val="en-US" w:eastAsia="zh-CN" w:bidi="ar"/>
              </w:rPr>
            </w:pPr>
            <w:r>
              <w:rPr>
                <w:rFonts w:hint="default" w:ascii="Times New Roman" w:hAnsi="Times New Roman"/>
                <w:sz w:val="21"/>
                <w:szCs w:val="21"/>
                <w:lang w:bidi="ar"/>
              </w:rPr>
              <w:t>厂内运输配置叉车等运输车辆</w:t>
            </w:r>
            <w:r>
              <w:rPr>
                <w:rFonts w:hint="eastAsia" w:ascii="Times New Roman" w:hAnsi="Times New Roman"/>
                <w:sz w:val="21"/>
                <w:szCs w:val="21"/>
                <w:lang w:eastAsia="zh-CN" w:bidi="ar"/>
              </w:rPr>
              <w:t>；</w:t>
            </w:r>
          </w:p>
        </w:tc>
        <w:tc>
          <w:tcPr>
            <w:tcW w:w="5042" w:type="dxa"/>
            <w:gridSpan w:val="2"/>
            <w:vAlign w:val="center"/>
          </w:tcPr>
          <w:p w14:paraId="3316D70E">
            <w:pPr>
              <w:pStyle w:val="14"/>
              <w:keepNext w:val="0"/>
              <w:keepLines w:val="0"/>
              <w:widowControl w:val="0"/>
              <w:suppressLineNumbers w:val="0"/>
              <w:adjustRightInd w:val="0"/>
              <w:snapToGrid w:val="0"/>
              <w:spacing w:before="0" w:beforeAutospacing="0" w:after="0" w:afterAutospacing="0"/>
              <w:ind w:left="0" w:leftChars="0" w:right="0" w:rightChars="0" w:firstLine="0" w:firstLineChars="0"/>
              <w:rPr>
                <w:rFonts w:hint="eastAsia" w:ascii="Times New Roman" w:hAnsi="Times New Roman"/>
                <w:sz w:val="21"/>
                <w:szCs w:val="21"/>
                <w:lang w:val="en-US" w:eastAsia="zh-CN" w:bidi="ar"/>
              </w:rPr>
            </w:pPr>
            <w:r>
              <w:rPr>
                <w:rFonts w:hint="default" w:ascii="Times New Roman" w:hAnsi="Times New Roman"/>
                <w:sz w:val="21"/>
                <w:szCs w:val="21"/>
                <w:lang w:bidi="ar"/>
              </w:rPr>
              <w:t>厂内运输配置叉车等运输车辆</w:t>
            </w:r>
            <w:r>
              <w:rPr>
                <w:rFonts w:hint="eastAsia" w:ascii="Times New Roman" w:hAnsi="Times New Roman"/>
                <w:sz w:val="21"/>
                <w:szCs w:val="21"/>
                <w:lang w:eastAsia="zh-CN" w:bidi="ar"/>
              </w:rPr>
              <w:t>；</w:t>
            </w:r>
          </w:p>
        </w:tc>
        <w:tc>
          <w:tcPr>
            <w:tcW w:w="1958" w:type="dxa"/>
            <w:vAlign w:val="center"/>
          </w:tcPr>
          <w:p w14:paraId="59D5CB3D">
            <w:pPr>
              <w:pStyle w:val="23"/>
              <w:bidi w:val="0"/>
              <w:ind w:left="0" w:leftChars="0" w:right="0" w:rightChars="0" w:firstLine="0" w:firstLineChars="0"/>
              <w:jc w:val="center"/>
              <w:rPr>
                <w:rFonts w:hint="eastAsia"/>
                <w:lang w:val="en-US" w:eastAsia="zh-CN"/>
              </w:rPr>
            </w:pPr>
            <w:r>
              <w:rPr>
                <w:rFonts w:hint="eastAsia"/>
                <w:lang w:val="en-US" w:eastAsia="zh-CN"/>
              </w:rPr>
              <w:t>与环评一致</w:t>
            </w:r>
          </w:p>
        </w:tc>
      </w:tr>
      <w:tr w14:paraId="5B994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jc w:val="center"/>
        </w:trPr>
        <w:tc>
          <w:tcPr>
            <w:tcW w:w="561" w:type="dxa"/>
            <w:vMerge w:val="restart"/>
            <w:vAlign w:val="center"/>
          </w:tcPr>
          <w:p w14:paraId="07BC0CF1">
            <w:pPr>
              <w:pStyle w:val="23"/>
              <w:bidi w:val="0"/>
              <w:jc w:val="center"/>
            </w:pPr>
            <w:r>
              <w:t>环保工程</w:t>
            </w:r>
          </w:p>
        </w:tc>
        <w:tc>
          <w:tcPr>
            <w:tcW w:w="1074" w:type="dxa"/>
            <w:vAlign w:val="center"/>
          </w:tcPr>
          <w:p w14:paraId="659FEC18">
            <w:pPr>
              <w:pStyle w:val="23"/>
              <w:ind w:left="0" w:leftChars="0" w:right="0" w:rightChars="0" w:firstLine="0" w:firstLineChars="0"/>
            </w:pPr>
            <w:r>
              <w:rPr>
                <w:rFonts w:ascii="Times New Roman" w:hAnsi="Times New Roman"/>
              </w:rPr>
              <w:t>废气</w:t>
            </w:r>
          </w:p>
        </w:tc>
        <w:tc>
          <w:tcPr>
            <w:tcW w:w="5258" w:type="dxa"/>
            <w:gridSpan w:val="2"/>
            <w:vAlign w:val="center"/>
          </w:tcPr>
          <w:p w14:paraId="6EEE19AA">
            <w:pPr>
              <w:pStyle w:val="23"/>
              <w:jc w:val="left"/>
              <w:rPr>
                <w:rFonts w:hint="eastAsia" w:ascii="Times New Roman" w:hAnsi="Times New Roman" w:eastAsia="宋体"/>
                <w:lang w:eastAsia="zh-CN"/>
              </w:rPr>
            </w:pPr>
            <w:r>
              <w:rPr>
                <w:rFonts w:ascii="Times New Roman" w:hAnsi="Times New Roman"/>
              </w:rPr>
              <w:t>①熔化天然气燃烧废气和熔化废气通过布袋除尘器处理后通过1根</w:t>
            </w:r>
            <w:r>
              <w:rPr>
                <w:rFonts w:hint="eastAsia" w:ascii="Times New Roman" w:hAnsi="Times New Roman"/>
                <w:lang w:val="en-US" w:eastAsia="zh-CN"/>
              </w:rPr>
              <w:t>23</w:t>
            </w:r>
            <w:r>
              <w:rPr>
                <w:rFonts w:ascii="Times New Roman" w:hAnsi="Times New Roman"/>
              </w:rPr>
              <w:t>m高排气筒（DA001）排放</w:t>
            </w:r>
            <w:r>
              <w:rPr>
                <w:rFonts w:hint="eastAsia" w:ascii="Times New Roman" w:hAnsi="Times New Roman"/>
                <w:lang w:eastAsia="zh-CN"/>
              </w:rPr>
              <w:t>；</w:t>
            </w:r>
          </w:p>
          <w:p w14:paraId="080656EB">
            <w:pPr>
              <w:pStyle w:val="23"/>
              <w:jc w:val="left"/>
              <w:rPr>
                <w:rFonts w:hint="eastAsia" w:ascii="Times New Roman" w:hAnsi="Times New Roman" w:eastAsia="宋体"/>
                <w:lang w:eastAsia="zh-CN"/>
              </w:rPr>
            </w:pPr>
            <w:r>
              <w:rPr>
                <w:rFonts w:ascii="Times New Roman" w:hAnsi="Times New Roman"/>
              </w:rPr>
              <w:t>②压铸废气和脱模废气经“压铸机废气净化处理装置”除尘及油雾净化处理后通过1根</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2</w:t>
            </w:r>
            <w:r>
              <w:rPr>
                <w:rFonts w:ascii="Times New Roman" w:hAnsi="Times New Roman"/>
              </w:rPr>
              <w:t>）排放</w:t>
            </w:r>
            <w:r>
              <w:rPr>
                <w:rFonts w:hint="eastAsia" w:ascii="Times New Roman" w:hAnsi="Times New Roman"/>
                <w:lang w:eastAsia="zh-CN"/>
              </w:rPr>
              <w:t>；</w:t>
            </w:r>
          </w:p>
          <w:p w14:paraId="0517463A">
            <w:pPr>
              <w:pStyle w:val="23"/>
              <w:jc w:val="left"/>
              <w:rPr>
                <w:rFonts w:hint="eastAsia" w:ascii="Times New Roman" w:hAnsi="Times New Roman" w:eastAsia="宋体"/>
                <w:lang w:eastAsia="zh-CN"/>
              </w:rPr>
            </w:pPr>
            <w:r>
              <w:rPr>
                <w:rFonts w:ascii="Times New Roman" w:hAnsi="Times New Roman"/>
              </w:rPr>
              <w:t>③打磨废气经</w:t>
            </w:r>
            <w:r>
              <w:rPr>
                <w:rFonts w:hint="eastAsia" w:ascii="Times New Roman" w:hAnsi="Times New Roman"/>
                <w:lang w:val="en-US" w:eastAsia="zh-CN"/>
              </w:rPr>
              <w:t>布袋</w:t>
            </w:r>
            <w:r>
              <w:rPr>
                <w:rFonts w:hint="eastAsia" w:ascii="Times New Roman" w:hAnsi="Times New Roman"/>
              </w:rPr>
              <w:t>除尘器</w:t>
            </w:r>
            <w:r>
              <w:rPr>
                <w:rFonts w:ascii="Times New Roman" w:hAnsi="Times New Roman"/>
              </w:rPr>
              <w:t>处理后通过1根</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3</w:t>
            </w:r>
            <w:r>
              <w:rPr>
                <w:rFonts w:ascii="Times New Roman" w:hAnsi="Times New Roman"/>
              </w:rPr>
              <w:t>）排放</w:t>
            </w:r>
            <w:r>
              <w:rPr>
                <w:rFonts w:hint="eastAsia" w:ascii="Times New Roman" w:hAnsi="Times New Roman"/>
                <w:lang w:eastAsia="zh-CN"/>
              </w:rPr>
              <w:t>；</w:t>
            </w:r>
          </w:p>
          <w:p w14:paraId="692D8BB1">
            <w:pPr>
              <w:pStyle w:val="23"/>
              <w:jc w:val="left"/>
              <w:rPr>
                <w:rFonts w:hint="eastAsia" w:ascii="Times New Roman" w:hAnsi="Times New Roman" w:eastAsia="宋体"/>
                <w:lang w:eastAsia="zh-CN"/>
              </w:rPr>
            </w:pPr>
            <w:r>
              <w:rPr>
                <w:rFonts w:ascii="Times New Roman" w:hAnsi="Times New Roman"/>
              </w:rPr>
              <w:t>④喷粉废气采用密闭喷房负压抽风进行收集，经布袋除尘器处理后通过</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4</w:t>
            </w:r>
            <w:r>
              <w:rPr>
                <w:rFonts w:ascii="Times New Roman" w:hAnsi="Times New Roman"/>
              </w:rPr>
              <w:t>）排放</w:t>
            </w:r>
            <w:r>
              <w:rPr>
                <w:rFonts w:hint="eastAsia" w:ascii="Times New Roman" w:hAnsi="Times New Roman"/>
                <w:lang w:eastAsia="zh-CN"/>
              </w:rPr>
              <w:t>；</w:t>
            </w:r>
          </w:p>
          <w:p w14:paraId="52FBB6D3">
            <w:pPr>
              <w:pStyle w:val="23"/>
              <w:keepNext w:val="0"/>
              <w:keepLines w:val="0"/>
              <w:pageBreakBefore w:val="0"/>
              <w:widowControl w:val="0"/>
              <w:kinsoku/>
              <w:wordWrap/>
              <w:overflowPunct/>
              <w:topLinePunct w:val="0"/>
              <w:autoSpaceDE/>
              <w:autoSpaceDN/>
              <w:bidi w:val="0"/>
              <w:adjustRightInd w:val="0"/>
              <w:snapToGrid w:val="0"/>
              <w:jc w:val="left"/>
              <w:textAlignment w:val="auto"/>
              <w:rPr>
                <w:rFonts w:hint="eastAsia"/>
                <w:lang w:eastAsia="zh-CN"/>
              </w:rPr>
            </w:pPr>
            <w:r>
              <w:rPr>
                <w:rFonts w:ascii="Times New Roman" w:hAnsi="Times New Roman"/>
              </w:rPr>
              <w:t>⑤固化有机废气经二级活性炭吸附装置处理后，与</w:t>
            </w:r>
            <w:r>
              <w:rPr>
                <w:rFonts w:hint="eastAsia" w:ascii="Times New Roman" w:hAnsi="Times New Roman"/>
                <w:lang w:val="en-US" w:eastAsia="zh-CN"/>
              </w:rPr>
              <w:t>经低氮燃烧后的</w:t>
            </w:r>
            <w:r>
              <w:rPr>
                <w:rFonts w:ascii="Times New Roman" w:hAnsi="Times New Roman"/>
              </w:rPr>
              <w:t>固化天然气燃烧废气通过</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5</w:t>
            </w:r>
            <w:r>
              <w:rPr>
                <w:rFonts w:ascii="Times New Roman" w:hAnsi="Times New Roman"/>
              </w:rPr>
              <w:t>）排放</w:t>
            </w:r>
            <w:r>
              <w:rPr>
                <w:rFonts w:hint="eastAsia" w:ascii="Times New Roman" w:hAnsi="Times New Roman"/>
                <w:lang w:eastAsia="zh-CN"/>
              </w:rPr>
              <w:t>；</w:t>
            </w:r>
            <w:r>
              <w:rPr>
                <w:rFonts w:hint="eastAsia"/>
                <w:lang w:eastAsia="zh-CN"/>
              </w:rPr>
              <w:t>。</w:t>
            </w:r>
          </w:p>
        </w:tc>
        <w:tc>
          <w:tcPr>
            <w:tcW w:w="5042" w:type="dxa"/>
            <w:gridSpan w:val="2"/>
            <w:vAlign w:val="center"/>
          </w:tcPr>
          <w:p w14:paraId="752152B8">
            <w:pPr>
              <w:pStyle w:val="23"/>
              <w:jc w:val="left"/>
              <w:rPr>
                <w:rFonts w:hint="eastAsia" w:ascii="Times New Roman" w:hAnsi="Times New Roman"/>
                <w:lang w:eastAsia="zh-CN"/>
              </w:rPr>
            </w:pPr>
            <w:r>
              <w:rPr>
                <w:rFonts w:ascii="Times New Roman" w:hAnsi="Times New Roman"/>
              </w:rPr>
              <w:t>①熔化天然气燃烧废气和熔化废气通过布袋除尘器处理后通过1根</w:t>
            </w:r>
            <w:r>
              <w:rPr>
                <w:rFonts w:hint="eastAsia" w:ascii="Times New Roman" w:hAnsi="Times New Roman"/>
                <w:lang w:val="en-US" w:eastAsia="zh-CN"/>
              </w:rPr>
              <w:t>23</w:t>
            </w:r>
            <w:r>
              <w:rPr>
                <w:rFonts w:ascii="Times New Roman" w:hAnsi="Times New Roman"/>
              </w:rPr>
              <w:t>m高排气筒（DA001）排放</w:t>
            </w:r>
            <w:r>
              <w:rPr>
                <w:rFonts w:hint="eastAsia" w:ascii="Times New Roman" w:hAnsi="Times New Roman"/>
                <w:lang w:eastAsia="zh-CN"/>
              </w:rPr>
              <w:t>；</w:t>
            </w:r>
          </w:p>
          <w:p w14:paraId="14A0A150">
            <w:pPr>
              <w:pStyle w:val="23"/>
              <w:jc w:val="left"/>
              <w:rPr>
                <w:rFonts w:hint="eastAsia" w:ascii="Times New Roman" w:hAnsi="Times New Roman" w:eastAsia="宋体"/>
                <w:lang w:eastAsia="zh-CN"/>
              </w:rPr>
            </w:pPr>
            <w:r>
              <w:rPr>
                <w:rFonts w:ascii="Times New Roman" w:hAnsi="Times New Roman"/>
              </w:rPr>
              <w:t>②压铸废气和脱模废气经“压铸机废气净化处理装置”除尘及油雾净化处理后通过1根</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2</w:t>
            </w:r>
            <w:r>
              <w:rPr>
                <w:rFonts w:ascii="Times New Roman" w:hAnsi="Times New Roman"/>
              </w:rPr>
              <w:t>）排放</w:t>
            </w:r>
            <w:r>
              <w:rPr>
                <w:rFonts w:hint="eastAsia" w:ascii="Times New Roman" w:hAnsi="Times New Roman"/>
                <w:lang w:eastAsia="zh-CN"/>
              </w:rPr>
              <w:t>；</w:t>
            </w:r>
          </w:p>
          <w:p w14:paraId="56415D89">
            <w:pPr>
              <w:pStyle w:val="23"/>
              <w:jc w:val="left"/>
              <w:rPr>
                <w:rFonts w:hint="eastAsia" w:ascii="Times New Roman" w:hAnsi="Times New Roman" w:eastAsia="宋体"/>
                <w:lang w:eastAsia="zh-CN"/>
              </w:rPr>
            </w:pPr>
            <w:r>
              <w:rPr>
                <w:rFonts w:ascii="Times New Roman" w:hAnsi="Times New Roman"/>
              </w:rPr>
              <w:t>③打磨废气经</w:t>
            </w:r>
            <w:r>
              <w:rPr>
                <w:rFonts w:hint="eastAsia"/>
                <w:lang w:val="en-US" w:eastAsia="zh-CN"/>
              </w:rPr>
              <w:t>湿式除尘器</w:t>
            </w:r>
            <w:r>
              <w:rPr>
                <w:rFonts w:ascii="Times New Roman" w:hAnsi="Times New Roman"/>
              </w:rPr>
              <w:t>处理后通过1根</w:t>
            </w:r>
            <w:r>
              <w:rPr>
                <w:rFonts w:hint="eastAsia" w:ascii="Times New Roman" w:hAnsi="Times New Roman"/>
                <w:lang w:eastAsia="zh-CN"/>
              </w:rPr>
              <w:t>23</w:t>
            </w:r>
            <w:r>
              <w:rPr>
                <w:rFonts w:ascii="Times New Roman" w:hAnsi="Times New Roman"/>
              </w:rPr>
              <w:t>m高排气筒（DA00</w:t>
            </w:r>
            <w:r>
              <w:rPr>
                <w:rFonts w:hint="eastAsia" w:ascii="Times New Roman" w:hAnsi="Times New Roman"/>
                <w:lang w:val="en-US" w:eastAsia="zh-CN"/>
              </w:rPr>
              <w:t>3</w:t>
            </w:r>
            <w:r>
              <w:rPr>
                <w:rFonts w:ascii="Times New Roman" w:hAnsi="Times New Roman"/>
              </w:rPr>
              <w:t>）排放</w:t>
            </w:r>
            <w:r>
              <w:rPr>
                <w:rFonts w:hint="eastAsia" w:ascii="Times New Roman" w:hAnsi="Times New Roman"/>
                <w:lang w:eastAsia="zh-CN"/>
              </w:rPr>
              <w:t>；</w:t>
            </w:r>
          </w:p>
          <w:p w14:paraId="78B730DC">
            <w:pPr>
              <w:pStyle w:val="23"/>
              <w:bidi w:val="0"/>
              <w:jc w:val="left"/>
            </w:pPr>
          </w:p>
        </w:tc>
        <w:tc>
          <w:tcPr>
            <w:tcW w:w="1958" w:type="dxa"/>
            <w:vAlign w:val="center"/>
          </w:tcPr>
          <w:p w14:paraId="14A7AE6F">
            <w:pPr>
              <w:pStyle w:val="23"/>
              <w:bidi w:val="0"/>
              <w:jc w:val="center"/>
              <w:rPr>
                <w:rFonts w:hint="default" w:eastAsia="宋体"/>
                <w:lang w:val="en-US" w:eastAsia="zh-CN"/>
              </w:rPr>
            </w:pPr>
            <w:r>
              <w:rPr>
                <w:rFonts w:hint="eastAsia"/>
                <w:lang w:val="en-US" w:eastAsia="zh-CN"/>
              </w:rPr>
              <w:t>项目喷粉生产线未建设，因此无喷粉、固化废气产生，打磨工序从安全角度考虑除尘方式由带式除尘变更为湿式除尘，其他与环评一致；</w:t>
            </w:r>
          </w:p>
        </w:tc>
      </w:tr>
      <w:tr w14:paraId="6655F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jc w:val="center"/>
        </w:trPr>
        <w:tc>
          <w:tcPr>
            <w:tcW w:w="561" w:type="dxa"/>
            <w:vMerge w:val="continue"/>
            <w:vAlign w:val="center"/>
          </w:tcPr>
          <w:p w14:paraId="65C72B5F">
            <w:pPr>
              <w:pStyle w:val="23"/>
              <w:bidi w:val="0"/>
              <w:jc w:val="center"/>
            </w:pPr>
          </w:p>
        </w:tc>
        <w:tc>
          <w:tcPr>
            <w:tcW w:w="1074" w:type="dxa"/>
            <w:vAlign w:val="center"/>
          </w:tcPr>
          <w:p w14:paraId="30295177">
            <w:pPr>
              <w:pStyle w:val="23"/>
              <w:ind w:left="0" w:leftChars="0" w:right="0" w:rightChars="0" w:firstLine="0" w:firstLineChars="0"/>
            </w:pPr>
            <w:r>
              <w:rPr>
                <w:rFonts w:ascii="Times New Roman" w:hAnsi="Times New Roman"/>
              </w:rPr>
              <w:t>废水</w:t>
            </w:r>
          </w:p>
        </w:tc>
        <w:tc>
          <w:tcPr>
            <w:tcW w:w="5258" w:type="dxa"/>
            <w:gridSpan w:val="2"/>
            <w:vAlign w:val="center"/>
          </w:tcPr>
          <w:p w14:paraId="1CFC3BF5">
            <w:pPr>
              <w:pStyle w:val="23"/>
              <w:bidi w:val="0"/>
              <w:jc w:val="left"/>
            </w:pPr>
            <w:r>
              <w:rPr>
                <w:rFonts w:hint="eastAsia" w:ascii="Times New Roman" w:hAnsi="Times New Roman"/>
              </w:rPr>
              <w:t>脱模废水经</w:t>
            </w:r>
            <w:r>
              <w:rPr>
                <w:rFonts w:ascii="Times New Roman" w:hAnsi="Times New Roman"/>
              </w:rPr>
              <w:t>脱模剂回收装置净化处理后回用</w:t>
            </w:r>
            <w:r>
              <w:rPr>
                <w:rFonts w:hint="eastAsia" w:ascii="Times New Roman" w:hAnsi="Times New Roman"/>
              </w:rPr>
              <w:t>、不排放。项目少量职工</w:t>
            </w:r>
            <w:r>
              <w:rPr>
                <w:rFonts w:ascii="Times New Roman" w:hAnsi="Times New Roman"/>
              </w:rPr>
              <w:t>生活污水通过化粪池预处理后</w:t>
            </w:r>
            <w:r>
              <w:rPr>
                <w:rFonts w:hint="eastAsia" w:ascii="Times New Roman" w:hAnsi="Times New Roman"/>
                <w:lang w:val="en-US" w:eastAsia="zh-CN"/>
              </w:rPr>
              <w:t>与循环冷却系统排水一同</w:t>
            </w:r>
            <w:r>
              <w:rPr>
                <w:rFonts w:ascii="Times New Roman" w:hAnsi="Times New Roman"/>
              </w:rPr>
              <w:t>接入江南产业集中区第一污水处理厂管网，深度处理</w:t>
            </w:r>
            <w:r>
              <w:rPr>
                <w:rFonts w:hint="eastAsia" w:ascii="Times New Roman" w:hAnsi="Times New Roman"/>
                <w:lang w:val="en-US" w:eastAsia="zh-CN"/>
              </w:rPr>
              <w:t>后</w:t>
            </w:r>
            <w:r>
              <w:rPr>
                <w:rFonts w:ascii="Times New Roman" w:hAnsi="Times New Roman"/>
              </w:rPr>
              <w:t>排入</w:t>
            </w:r>
            <w:r>
              <w:rPr>
                <w:rFonts w:hint="eastAsia" w:ascii="Times New Roman" w:hAnsi="Times New Roman"/>
                <w:lang w:val="en-US" w:eastAsia="zh-CN"/>
              </w:rPr>
              <w:t>九华河</w:t>
            </w:r>
            <w:r>
              <w:rPr>
                <w:rFonts w:ascii="Times New Roman" w:hAnsi="Times New Roman"/>
              </w:rPr>
              <w:t>。</w:t>
            </w:r>
          </w:p>
        </w:tc>
        <w:tc>
          <w:tcPr>
            <w:tcW w:w="5042" w:type="dxa"/>
            <w:gridSpan w:val="2"/>
            <w:vAlign w:val="center"/>
          </w:tcPr>
          <w:p w14:paraId="3F537DF5">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hint="eastAsia" w:ascii="Times New Roman" w:hAnsi="Times New Roman"/>
              </w:rPr>
              <w:t>脱模废水经</w:t>
            </w:r>
            <w:r>
              <w:rPr>
                <w:rFonts w:ascii="Times New Roman" w:hAnsi="Times New Roman"/>
              </w:rPr>
              <w:t>脱模剂回收装置净化处理后回用</w:t>
            </w:r>
            <w:r>
              <w:rPr>
                <w:rFonts w:hint="eastAsia" w:ascii="Times New Roman" w:hAnsi="Times New Roman"/>
              </w:rPr>
              <w:t>、不排放</w:t>
            </w:r>
            <w:r>
              <w:rPr>
                <w:rFonts w:hint="eastAsia"/>
                <w:lang w:eastAsia="zh-CN"/>
              </w:rPr>
              <w:t>，</w:t>
            </w:r>
            <w:r>
              <w:rPr>
                <w:rFonts w:hint="eastAsia"/>
                <w:lang w:val="en-US" w:eastAsia="zh-CN"/>
              </w:rPr>
              <w:t>除尘器废水循环使用，不外排</w:t>
            </w:r>
            <w:r>
              <w:rPr>
                <w:rFonts w:hint="eastAsia" w:ascii="Times New Roman" w:hAnsi="Times New Roman"/>
              </w:rPr>
              <w:t>。项目少量职工</w:t>
            </w:r>
            <w:r>
              <w:rPr>
                <w:rFonts w:ascii="Times New Roman" w:hAnsi="Times New Roman"/>
              </w:rPr>
              <w:t>生活污水通过化粪池预处理后</w:t>
            </w:r>
            <w:r>
              <w:rPr>
                <w:rFonts w:hint="eastAsia" w:ascii="Times New Roman" w:hAnsi="Times New Roman"/>
                <w:lang w:val="en-US" w:eastAsia="zh-CN"/>
              </w:rPr>
              <w:t>与循环冷却系统排水一同</w:t>
            </w:r>
            <w:r>
              <w:rPr>
                <w:rFonts w:ascii="Times New Roman" w:hAnsi="Times New Roman"/>
              </w:rPr>
              <w:t>接入江南产业集中区第一污水处理厂管网，深度处理</w:t>
            </w:r>
            <w:r>
              <w:rPr>
                <w:rFonts w:hint="eastAsia" w:ascii="Times New Roman" w:hAnsi="Times New Roman"/>
                <w:lang w:val="en-US" w:eastAsia="zh-CN"/>
              </w:rPr>
              <w:t>后</w:t>
            </w:r>
            <w:r>
              <w:rPr>
                <w:rFonts w:ascii="Times New Roman" w:hAnsi="Times New Roman"/>
              </w:rPr>
              <w:t>排入</w:t>
            </w:r>
            <w:r>
              <w:rPr>
                <w:rFonts w:hint="eastAsia" w:ascii="Times New Roman" w:hAnsi="Times New Roman"/>
                <w:lang w:val="en-US" w:eastAsia="zh-CN"/>
              </w:rPr>
              <w:t>九华河</w:t>
            </w:r>
            <w:r>
              <w:rPr>
                <w:rFonts w:ascii="Times New Roman" w:hAnsi="Times New Roman"/>
              </w:rPr>
              <w:t>。</w:t>
            </w:r>
          </w:p>
        </w:tc>
        <w:tc>
          <w:tcPr>
            <w:tcW w:w="1958" w:type="dxa"/>
            <w:vAlign w:val="center"/>
          </w:tcPr>
          <w:p w14:paraId="242DF445">
            <w:pPr>
              <w:pStyle w:val="23"/>
              <w:bidi w:val="0"/>
              <w:jc w:val="left"/>
              <w:rPr>
                <w:rFonts w:hint="default" w:eastAsia="宋体"/>
                <w:lang w:val="en-US" w:eastAsia="zh-CN"/>
              </w:rPr>
            </w:pPr>
            <w:r>
              <w:rPr>
                <w:rFonts w:hint="eastAsia"/>
                <w:lang w:val="en-US" w:eastAsia="zh-CN"/>
              </w:rPr>
              <w:t>新增湿式除尘工序废水循环使用不排外</w:t>
            </w:r>
          </w:p>
        </w:tc>
      </w:tr>
      <w:tr w14:paraId="396AC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61" w:type="dxa"/>
            <w:vMerge w:val="continue"/>
            <w:vAlign w:val="center"/>
          </w:tcPr>
          <w:p w14:paraId="48033FC9">
            <w:pPr>
              <w:pStyle w:val="23"/>
              <w:bidi w:val="0"/>
              <w:jc w:val="center"/>
            </w:pPr>
          </w:p>
        </w:tc>
        <w:tc>
          <w:tcPr>
            <w:tcW w:w="1074" w:type="dxa"/>
            <w:vAlign w:val="center"/>
          </w:tcPr>
          <w:p w14:paraId="5CFEDCCA">
            <w:pPr>
              <w:pStyle w:val="23"/>
              <w:ind w:left="0" w:leftChars="0" w:right="0" w:rightChars="0" w:firstLine="0" w:firstLineChars="0"/>
            </w:pPr>
            <w:r>
              <w:rPr>
                <w:rFonts w:ascii="Times New Roman" w:hAnsi="Times New Roman"/>
              </w:rPr>
              <w:t>噪声</w:t>
            </w:r>
          </w:p>
        </w:tc>
        <w:tc>
          <w:tcPr>
            <w:tcW w:w="5258" w:type="dxa"/>
            <w:gridSpan w:val="2"/>
            <w:vAlign w:val="center"/>
          </w:tcPr>
          <w:p w14:paraId="292DD947">
            <w:pPr>
              <w:pStyle w:val="23"/>
              <w:bidi w:val="0"/>
              <w:jc w:val="left"/>
            </w:pPr>
            <w:r>
              <w:rPr>
                <w:rFonts w:hint="eastAsia" w:ascii="Times New Roman" w:hAnsi="Times New Roman"/>
                <w:lang w:val="en-US" w:eastAsia="zh-CN"/>
              </w:rPr>
              <w:t>合理布局，</w:t>
            </w:r>
            <w:r>
              <w:rPr>
                <w:rFonts w:ascii="Times New Roman" w:hAnsi="Times New Roman"/>
              </w:rPr>
              <w:t>选用低噪声设备</w:t>
            </w:r>
            <w:r>
              <w:rPr>
                <w:rFonts w:hint="eastAsia" w:ascii="Times New Roman" w:hAnsi="Times New Roman"/>
                <w:lang w:eastAsia="zh-CN"/>
              </w:rPr>
              <w:t>，</w:t>
            </w:r>
            <w:r>
              <w:rPr>
                <w:rFonts w:hint="eastAsia" w:ascii="Times New Roman" w:hAnsi="Times New Roman"/>
                <w:lang w:val="en-US" w:eastAsia="zh-CN"/>
              </w:rPr>
              <w:t>高噪声设备安装减震垫</w:t>
            </w:r>
            <w:r>
              <w:rPr>
                <w:rFonts w:hint="eastAsia" w:ascii="Times New Roman" w:hAnsi="Times New Roman"/>
                <w:lang w:eastAsia="zh-CN"/>
              </w:rPr>
              <w:t>，</w:t>
            </w:r>
            <w:r>
              <w:rPr>
                <w:rFonts w:ascii="Times New Roman" w:hAnsi="Times New Roman"/>
              </w:rPr>
              <w:t>加强设备的维护保养</w:t>
            </w:r>
            <w:r>
              <w:rPr>
                <w:rFonts w:hint="eastAsia" w:ascii="Times New Roman" w:hAnsi="Times New Roman"/>
                <w:lang w:eastAsia="zh-CN"/>
              </w:rPr>
              <w:t>，</w:t>
            </w:r>
            <w:r>
              <w:rPr>
                <w:rFonts w:ascii="Times New Roman" w:hAnsi="Times New Roman"/>
              </w:rPr>
              <w:t>厂房隔声</w:t>
            </w:r>
            <w:r>
              <w:rPr>
                <w:rFonts w:hint="eastAsia" w:ascii="Times New Roman" w:hAnsi="Times New Roman"/>
                <w:lang w:eastAsia="zh-CN"/>
              </w:rPr>
              <w:t>，</w:t>
            </w:r>
            <w:r>
              <w:rPr>
                <w:rFonts w:hint="eastAsia" w:ascii="Times New Roman" w:hAnsi="Times New Roman"/>
                <w:lang w:val="en-US" w:eastAsia="zh-CN"/>
              </w:rPr>
              <w:t>加强厂区绿化</w:t>
            </w:r>
            <w:r>
              <w:rPr>
                <w:rFonts w:hint="eastAsia" w:ascii="Times New Roman" w:hAnsi="Times New Roman"/>
                <w:lang w:eastAsia="zh-CN"/>
              </w:rPr>
              <w:t>；</w:t>
            </w:r>
          </w:p>
        </w:tc>
        <w:tc>
          <w:tcPr>
            <w:tcW w:w="5042" w:type="dxa"/>
            <w:gridSpan w:val="2"/>
            <w:vAlign w:val="center"/>
          </w:tcPr>
          <w:p w14:paraId="6493EA04">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hint="eastAsia" w:ascii="Times New Roman" w:hAnsi="Times New Roman"/>
                <w:lang w:val="en-US" w:eastAsia="zh-CN"/>
              </w:rPr>
              <w:t>合理布局，</w:t>
            </w:r>
            <w:r>
              <w:rPr>
                <w:rFonts w:ascii="Times New Roman" w:hAnsi="Times New Roman"/>
              </w:rPr>
              <w:t>选用低噪声设备</w:t>
            </w:r>
            <w:r>
              <w:rPr>
                <w:rFonts w:hint="eastAsia" w:ascii="Times New Roman" w:hAnsi="Times New Roman"/>
                <w:lang w:eastAsia="zh-CN"/>
              </w:rPr>
              <w:t>，</w:t>
            </w:r>
            <w:r>
              <w:rPr>
                <w:rFonts w:hint="eastAsia" w:ascii="Times New Roman" w:hAnsi="Times New Roman"/>
                <w:lang w:val="en-US" w:eastAsia="zh-CN"/>
              </w:rPr>
              <w:t>高噪声设备安装减震垫</w:t>
            </w:r>
            <w:r>
              <w:rPr>
                <w:rFonts w:hint="eastAsia" w:ascii="Times New Roman" w:hAnsi="Times New Roman"/>
                <w:lang w:eastAsia="zh-CN"/>
              </w:rPr>
              <w:t>，</w:t>
            </w:r>
            <w:r>
              <w:rPr>
                <w:rFonts w:ascii="Times New Roman" w:hAnsi="Times New Roman"/>
              </w:rPr>
              <w:t>加强设备的维护保养</w:t>
            </w:r>
            <w:r>
              <w:rPr>
                <w:rFonts w:hint="eastAsia" w:ascii="Times New Roman" w:hAnsi="Times New Roman"/>
                <w:lang w:eastAsia="zh-CN"/>
              </w:rPr>
              <w:t>，</w:t>
            </w:r>
            <w:r>
              <w:rPr>
                <w:rFonts w:ascii="Times New Roman" w:hAnsi="Times New Roman"/>
              </w:rPr>
              <w:t>厂房隔声</w:t>
            </w:r>
            <w:r>
              <w:rPr>
                <w:rFonts w:hint="eastAsia" w:ascii="Times New Roman" w:hAnsi="Times New Roman"/>
                <w:lang w:eastAsia="zh-CN"/>
              </w:rPr>
              <w:t>，</w:t>
            </w:r>
            <w:r>
              <w:rPr>
                <w:rFonts w:hint="eastAsia" w:ascii="Times New Roman" w:hAnsi="Times New Roman"/>
                <w:lang w:val="en-US" w:eastAsia="zh-CN"/>
              </w:rPr>
              <w:t>加强厂区绿化</w:t>
            </w:r>
            <w:r>
              <w:rPr>
                <w:rFonts w:hint="eastAsia" w:ascii="Times New Roman" w:hAnsi="Times New Roman"/>
                <w:lang w:eastAsia="zh-CN"/>
              </w:rPr>
              <w:t>；</w:t>
            </w:r>
          </w:p>
        </w:tc>
        <w:tc>
          <w:tcPr>
            <w:tcW w:w="1958" w:type="dxa"/>
            <w:vAlign w:val="center"/>
          </w:tcPr>
          <w:p w14:paraId="796A7E86">
            <w:pPr>
              <w:pStyle w:val="23"/>
              <w:bidi w:val="0"/>
              <w:jc w:val="center"/>
            </w:pPr>
            <w:r>
              <w:rPr>
                <w:rFonts w:hint="eastAsia"/>
                <w:lang w:val="en-US" w:eastAsia="zh-CN"/>
              </w:rPr>
              <w:t>与环评一致</w:t>
            </w:r>
          </w:p>
        </w:tc>
      </w:tr>
      <w:tr w14:paraId="7CF17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6" w:hRule="atLeast"/>
          <w:jc w:val="center"/>
        </w:trPr>
        <w:tc>
          <w:tcPr>
            <w:tcW w:w="561" w:type="dxa"/>
            <w:vMerge w:val="continue"/>
            <w:vAlign w:val="center"/>
          </w:tcPr>
          <w:p w14:paraId="1E55B23E">
            <w:pPr>
              <w:pStyle w:val="23"/>
              <w:bidi w:val="0"/>
              <w:jc w:val="center"/>
            </w:pPr>
          </w:p>
        </w:tc>
        <w:tc>
          <w:tcPr>
            <w:tcW w:w="1074" w:type="dxa"/>
            <w:tcBorders>
              <w:bottom w:val="single" w:color="000000" w:sz="4" w:space="0"/>
            </w:tcBorders>
            <w:vAlign w:val="center"/>
          </w:tcPr>
          <w:p w14:paraId="7D55B2B8">
            <w:pPr>
              <w:pStyle w:val="23"/>
              <w:ind w:left="0" w:leftChars="0" w:right="0" w:rightChars="0" w:firstLine="0" w:firstLineChars="0"/>
            </w:pPr>
            <w:r>
              <w:rPr>
                <w:rFonts w:ascii="Times New Roman" w:hAnsi="Times New Roman"/>
              </w:rPr>
              <w:t>固体废物</w:t>
            </w:r>
          </w:p>
        </w:tc>
        <w:tc>
          <w:tcPr>
            <w:tcW w:w="5258" w:type="dxa"/>
            <w:gridSpan w:val="2"/>
            <w:vAlign w:val="center"/>
          </w:tcPr>
          <w:p w14:paraId="1DD2809B">
            <w:pPr>
              <w:pStyle w:val="23"/>
              <w:jc w:val="left"/>
              <w:rPr>
                <w:rFonts w:hint="eastAsia" w:ascii="Times New Roman" w:hAnsi="Times New Roman" w:eastAsia="宋体"/>
                <w:szCs w:val="21"/>
                <w:lang w:eastAsia="zh-CN"/>
              </w:rPr>
            </w:pPr>
            <w:r>
              <w:rPr>
                <w:rFonts w:ascii="Times New Roman" w:hAnsi="Times New Roman"/>
              </w:rPr>
              <w:t>①生活垃</w:t>
            </w:r>
            <w:r>
              <w:rPr>
                <w:rFonts w:ascii="Times New Roman" w:hAnsi="Times New Roman"/>
                <w:szCs w:val="21"/>
              </w:rPr>
              <w:t>圾：职工生活垃圾暂存厂区生活垃圾暂存场所，由环卫部门定期清运处理</w:t>
            </w:r>
            <w:r>
              <w:rPr>
                <w:rFonts w:hint="eastAsia"/>
                <w:szCs w:val="21"/>
                <w:lang w:eastAsia="zh-CN"/>
              </w:rPr>
              <w:t>；</w:t>
            </w:r>
          </w:p>
          <w:p w14:paraId="572A2A45">
            <w:pPr>
              <w:pStyle w:val="23"/>
              <w:bidi w:val="0"/>
              <w:jc w:val="left"/>
              <w:rPr>
                <w:rFonts w:hint="eastAsia"/>
                <w:szCs w:val="21"/>
                <w:lang w:eastAsia="zh-CN" w:bidi="ar"/>
              </w:rPr>
            </w:pPr>
            <w:r>
              <w:rPr>
                <w:rFonts w:ascii="Times New Roman" w:hAnsi="Times New Roman"/>
                <w:szCs w:val="21"/>
              </w:rPr>
              <w:t>②压铸件边角料、不合格品</w:t>
            </w:r>
            <w:r>
              <w:rPr>
                <w:rFonts w:hint="eastAsia"/>
                <w:szCs w:val="21"/>
              </w:rPr>
              <w:t>以及</w:t>
            </w:r>
            <w:r>
              <w:rPr>
                <w:rFonts w:ascii="Times New Roman" w:hAnsi="Times New Roman"/>
                <w:szCs w:val="21"/>
                <w:lang w:bidi="ar"/>
              </w:rPr>
              <w:t>打磨及喷粉除尘收集的粉尘</w:t>
            </w:r>
            <w:r>
              <w:rPr>
                <w:rFonts w:hint="eastAsia" w:ascii="Times New Roman" w:hAnsi="Times New Roman"/>
                <w:szCs w:val="21"/>
                <w:lang w:bidi="ar"/>
              </w:rPr>
              <w:t>等均为一般固废，</w:t>
            </w:r>
            <w:r>
              <w:rPr>
                <w:rFonts w:hint="eastAsia"/>
                <w:szCs w:val="21"/>
                <w:lang w:bidi="ar"/>
              </w:rPr>
              <w:t>分别外售综合利用</w:t>
            </w:r>
            <w:r>
              <w:rPr>
                <w:rFonts w:hint="eastAsia"/>
                <w:szCs w:val="21"/>
                <w:lang w:eastAsia="zh-CN" w:bidi="ar"/>
              </w:rPr>
              <w:t>；</w:t>
            </w:r>
          </w:p>
          <w:p w14:paraId="0D9AE580">
            <w:pPr>
              <w:pStyle w:val="23"/>
              <w:bidi w:val="0"/>
              <w:jc w:val="left"/>
              <w:rPr>
                <w:rFonts w:hint="eastAsia"/>
                <w:lang w:eastAsia="zh-CN"/>
              </w:rPr>
            </w:pPr>
            <w:r>
              <w:rPr>
                <w:rFonts w:hint="eastAsia"/>
                <w:szCs w:val="21"/>
                <w:lang w:val="en-US" w:eastAsia="zh-CN" w:bidi="ar"/>
              </w:rPr>
              <w:t>③</w:t>
            </w:r>
            <w:r>
              <w:rPr>
                <w:rFonts w:ascii="Times New Roman" w:hAnsi="Times New Roman"/>
                <w:szCs w:val="21"/>
                <w:lang w:bidi="ar"/>
              </w:rPr>
              <w:t>熔化</w:t>
            </w:r>
            <w:r>
              <w:rPr>
                <w:rFonts w:hint="eastAsia"/>
                <w:szCs w:val="21"/>
                <w:lang w:bidi="ar"/>
              </w:rPr>
              <w:t>及压铸</w:t>
            </w:r>
            <w:r>
              <w:rPr>
                <w:rFonts w:ascii="Times New Roman" w:hAnsi="Times New Roman"/>
                <w:szCs w:val="21"/>
              </w:rPr>
              <w:t>除尘器收尘</w:t>
            </w:r>
            <w:r>
              <w:rPr>
                <w:rFonts w:hint="eastAsia"/>
                <w:szCs w:val="21"/>
              </w:rPr>
              <w:t>、</w:t>
            </w:r>
            <w:r>
              <w:rPr>
                <w:rFonts w:ascii="Times New Roman" w:hAnsi="Times New Roman"/>
                <w:szCs w:val="21"/>
                <w:lang w:bidi="ar"/>
              </w:rPr>
              <w:t>废炉渣</w:t>
            </w:r>
            <w:r>
              <w:rPr>
                <w:rFonts w:hint="eastAsia"/>
                <w:szCs w:val="21"/>
                <w:lang w:bidi="ar"/>
              </w:rPr>
              <w:t>、</w:t>
            </w:r>
            <w:r>
              <w:rPr>
                <w:rFonts w:ascii="Times New Roman" w:hAnsi="Times New Roman"/>
                <w:szCs w:val="21"/>
                <w:lang w:bidi="ar"/>
              </w:rPr>
              <w:t>废化学品桶</w:t>
            </w:r>
            <w:r>
              <w:rPr>
                <w:rFonts w:hint="eastAsia"/>
                <w:szCs w:val="21"/>
                <w:lang w:bidi="ar"/>
              </w:rPr>
              <w:t>、</w:t>
            </w:r>
            <w:r>
              <w:rPr>
                <w:rFonts w:ascii="Times New Roman" w:hAnsi="Times New Roman"/>
                <w:szCs w:val="21"/>
                <w:lang w:bidi="ar"/>
              </w:rPr>
              <w:t>废切削液</w:t>
            </w:r>
            <w:r>
              <w:rPr>
                <w:rFonts w:hint="eastAsia"/>
                <w:szCs w:val="21"/>
                <w:lang w:bidi="ar"/>
              </w:rPr>
              <w:t>、</w:t>
            </w:r>
            <w:r>
              <w:rPr>
                <w:rFonts w:ascii="Times New Roman" w:hAnsi="Times New Roman"/>
                <w:szCs w:val="21"/>
                <w:lang w:bidi="ar"/>
              </w:rPr>
              <w:t>废润滑油</w:t>
            </w:r>
            <w:r>
              <w:rPr>
                <w:rFonts w:hint="eastAsia"/>
                <w:szCs w:val="21"/>
                <w:lang w:bidi="ar"/>
              </w:rPr>
              <w:t>、</w:t>
            </w:r>
            <w:r>
              <w:rPr>
                <w:rFonts w:ascii="Times New Roman" w:hAnsi="Times New Roman"/>
                <w:szCs w:val="21"/>
                <w:lang w:bidi="ar"/>
              </w:rPr>
              <w:t>废脱模剂</w:t>
            </w:r>
            <w:r>
              <w:rPr>
                <w:rFonts w:hint="eastAsia"/>
                <w:szCs w:val="21"/>
                <w:lang w:bidi="ar"/>
              </w:rPr>
              <w:t>、</w:t>
            </w:r>
            <w:r>
              <w:rPr>
                <w:rFonts w:ascii="Times New Roman" w:hAnsi="Times New Roman"/>
                <w:szCs w:val="21"/>
                <w:lang w:bidi="ar"/>
              </w:rPr>
              <w:t>废活性炭</w:t>
            </w:r>
            <w:r>
              <w:rPr>
                <w:rFonts w:hint="eastAsia" w:ascii="Times New Roman" w:hAnsi="Times New Roman"/>
                <w:szCs w:val="21"/>
                <w:lang w:eastAsia="zh-CN" w:bidi="ar"/>
              </w:rPr>
              <w:t>、</w:t>
            </w:r>
            <w:r>
              <w:rPr>
                <w:rFonts w:hint="eastAsia" w:ascii="Times New Roman" w:hAnsi="Times New Roman"/>
                <w:szCs w:val="21"/>
                <w:lang w:val="en-US" w:eastAsia="zh-CN" w:bidi="ar"/>
              </w:rPr>
              <w:t>废抹布</w:t>
            </w:r>
            <w:r>
              <w:rPr>
                <w:rFonts w:hint="eastAsia"/>
                <w:szCs w:val="21"/>
                <w:lang w:bidi="ar"/>
              </w:rPr>
              <w:t>等均为危险废物，危险废物</w:t>
            </w:r>
            <w:r>
              <w:rPr>
                <w:rFonts w:ascii="Times New Roman" w:hAnsi="Times New Roman"/>
                <w:szCs w:val="21"/>
              </w:rPr>
              <w:t>暂存</w:t>
            </w:r>
            <w:r>
              <w:rPr>
                <w:rFonts w:hint="eastAsia"/>
                <w:szCs w:val="21"/>
              </w:rPr>
              <w:t>于</w:t>
            </w:r>
            <w:r>
              <w:rPr>
                <w:rFonts w:ascii="Times New Roman" w:hAnsi="Times New Roman"/>
                <w:szCs w:val="21"/>
              </w:rPr>
              <w:t>危废间，</w:t>
            </w:r>
            <w:r>
              <w:rPr>
                <w:rFonts w:hint="eastAsia"/>
                <w:szCs w:val="21"/>
              </w:rPr>
              <w:t>定期交</w:t>
            </w:r>
            <w:r>
              <w:rPr>
                <w:rFonts w:ascii="Times New Roman" w:hAnsi="Times New Roman"/>
                <w:szCs w:val="21"/>
              </w:rPr>
              <w:t>由有资质单位处理。</w:t>
            </w:r>
          </w:p>
        </w:tc>
        <w:tc>
          <w:tcPr>
            <w:tcW w:w="5042" w:type="dxa"/>
            <w:gridSpan w:val="2"/>
            <w:vAlign w:val="center"/>
          </w:tcPr>
          <w:p w14:paraId="44EC0257">
            <w:pPr>
              <w:pStyle w:val="23"/>
              <w:jc w:val="left"/>
              <w:rPr>
                <w:rFonts w:hint="eastAsia" w:ascii="Times New Roman" w:hAnsi="Times New Roman" w:eastAsia="宋体"/>
                <w:szCs w:val="21"/>
                <w:lang w:eastAsia="zh-CN"/>
              </w:rPr>
            </w:pPr>
            <w:r>
              <w:rPr>
                <w:rFonts w:ascii="Times New Roman" w:hAnsi="Times New Roman"/>
              </w:rPr>
              <w:t>①生活垃</w:t>
            </w:r>
            <w:r>
              <w:rPr>
                <w:rFonts w:ascii="Times New Roman" w:hAnsi="Times New Roman"/>
                <w:szCs w:val="21"/>
              </w:rPr>
              <w:t>圾：职工生活垃圾暂存厂区生活垃圾暂存场所，由环卫部门定期清运处理</w:t>
            </w:r>
            <w:r>
              <w:rPr>
                <w:rFonts w:hint="eastAsia"/>
                <w:szCs w:val="21"/>
                <w:lang w:eastAsia="zh-CN"/>
              </w:rPr>
              <w:t>；</w:t>
            </w:r>
          </w:p>
          <w:p w14:paraId="32232503">
            <w:pPr>
              <w:pStyle w:val="23"/>
              <w:bidi w:val="0"/>
              <w:jc w:val="left"/>
              <w:rPr>
                <w:rFonts w:hint="eastAsia"/>
                <w:szCs w:val="21"/>
                <w:lang w:eastAsia="zh-CN" w:bidi="ar"/>
              </w:rPr>
            </w:pPr>
            <w:r>
              <w:rPr>
                <w:rFonts w:ascii="Times New Roman" w:hAnsi="Times New Roman"/>
                <w:szCs w:val="21"/>
              </w:rPr>
              <w:t>②压铸件边角料、不合格品</w:t>
            </w:r>
            <w:r>
              <w:rPr>
                <w:rFonts w:hint="eastAsia"/>
                <w:szCs w:val="21"/>
              </w:rPr>
              <w:t>以及</w:t>
            </w:r>
            <w:r>
              <w:rPr>
                <w:rFonts w:ascii="Times New Roman" w:hAnsi="Times New Roman"/>
                <w:szCs w:val="21"/>
                <w:lang w:bidi="ar"/>
              </w:rPr>
              <w:t>打磨粉尘</w:t>
            </w:r>
            <w:r>
              <w:rPr>
                <w:rFonts w:hint="eastAsia" w:ascii="Times New Roman" w:hAnsi="Times New Roman"/>
                <w:szCs w:val="21"/>
                <w:lang w:bidi="ar"/>
              </w:rPr>
              <w:t>等均为一般固废，</w:t>
            </w:r>
            <w:r>
              <w:rPr>
                <w:rFonts w:hint="eastAsia"/>
                <w:szCs w:val="21"/>
                <w:lang w:bidi="ar"/>
              </w:rPr>
              <w:t>分别外售综合利用</w:t>
            </w:r>
            <w:r>
              <w:rPr>
                <w:rFonts w:hint="eastAsia"/>
                <w:szCs w:val="21"/>
                <w:lang w:eastAsia="zh-CN" w:bidi="ar"/>
              </w:rPr>
              <w:t>；</w:t>
            </w:r>
          </w:p>
          <w:p w14:paraId="21CF5234">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hint="eastAsia"/>
                <w:szCs w:val="21"/>
                <w:lang w:val="en-US" w:eastAsia="zh-CN" w:bidi="ar"/>
              </w:rPr>
              <w:t>③</w:t>
            </w:r>
            <w:r>
              <w:rPr>
                <w:rFonts w:ascii="Times New Roman" w:hAnsi="Times New Roman"/>
                <w:szCs w:val="21"/>
                <w:lang w:bidi="ar"/>
              </w:rPr>
              <w:t>熔化</w:t>
            </w:r>
            <w:r>
              <w:rPr>
                <w:rFonts w:hint="eastAsia"/>
                <w:szCs w:val="21"/>
                <w:lang w:bidi="ar"/>
              </w:rPr>
              <w:t>及压铸</w:t>
            </w:r>
            <w:r>
              <w:rPr>
                <w:rFonts w:ascii="Times New Roman" w:hAnsi="Times New Roman"/>
                <w:szCs w:val="21"/>
              </w:rPr>
              <w:t>除尘器收尘</w:t>
            </w:r>
            <w:r>
              <w:rPr>
                <w:rFonts w:hint="eastAsia"/>
                <w:szCs w:val="21"/>
              </w:rPr>
              <w:t>、</w:t>
            </w:r>
            <w:r>
              <w:rPr>
                <w:rFonts w:ascii="Times New Roman" w:hAnsi="Times New Roman"/>
                <w:szCs w:val="21"/>
                <w:lang w:bidi="ar"/>
              </w:rPr>
              <w:t>废炉渣</w:t>
            </w:r>
            <w:r>
              <w:rPr>
                <w:rFonts w:hint="eastAsia"/>
                <w:szCs w:val="21"/>
                <w:lang w:bidi="ar"/>
              </w:rPr>
              <w:t>、</w:t>
            </w:r>
            <w:r>
              <w:rPr>
                <w:rFonts w:ascii="Times New Roman" w:hAnsi="Times New Roman"/>
                <w:szCs w:val="21"/>
                <w:lang w:bidi="ar"/>
              </w:rPr>
              <w:t>废化学品桶</w:t>
            </w:r>
            <w:r>
              <w:rPr>
                <w:rFonts w:hint="eastAsia"/>
                <w:szCs w:val="21"/>
                <w:lang w:bidi="ar"/>
              </w:rPr>
              <w:t>、</w:t>
            </w:r>
            <w:r>
              <w:rPr>
                <w:rFonts w:ascii="Times New Roman" w:hAnsi="Times New Roman"/>
                <w:szCs w:val="21"/>
                <w:lang w:bidi="ar"/>
              </w:rPr>
              <w:t>废脱模剂</w:t>
            </w:r>
            <w:r>
              <w:rPr>
                <w:rFonts w:hint="eastAsia"/>
                <w:szCs w:val="21"/>
                <w:lang w:bidi="ar"/>
              </w:rPr>
              <w:t>、</w:t>
            </w:r>
            <w:r>
              <w:rPr>
                <w:rFonts w:ascii="Times New Roman" w:hAnsi="Times New Roman"/>
                <w:szCs w:val="21"/>
                <w:lang w:bidi="ar"/>
              </w:rPr>
              <w:t>废活性炭</w:t>
            </w:r>
            <w:r>
              <w:rPr>
                <w:rFonts w:hint="eastAsia" w:ascii="Times New Roman" w:hAnsi="Times New Roman"/>
                <w:szCs w:val="21"/>
                <w:lang w:eastAsia="zh-CN" w:bidi="ar"/>
              </w:rPr>
              <w:t>、</w:t>
            </w:r>
            <w:r>
              <w:rPr>
                <w:rFonts w:hint="eastAsia" w:ascii="Times New Roman" w:hAnsi="Times New Roman"/>
                <w:szCs w:val="21"/>
                <w:lang w:val="en-US" w:eastAsia="zh-CN" w:bidi="ar"/>
              </w:rPr>
              <w:t>废抹布</w:t>
            </w:r>
            <w:r>
              <w:rPr>
                <w:rFonts w:hint="eastAsia"/>
                <w:szCs w:val="21"/>
                <w:lang w:bidi="ar"/>
              </w:rPr>
              <w:t>等均为危险废物，危险废物</w:t>
            </w:r>
            <w:r>
              <w:rPr>
                <w:rFonts w:ascii="Times New Roman" w:hAnsi="Times New Roman"/>
                <w:szCs w:val="21"/>
              </w:rPr>
              <w:t>暂存</w:t>
            </w:r>
            <w:r>
              <w:rPr>
                <w:rFonts w:hint="eastAsia"/>
                <w:szCs w:val="21"/>
              </w:rPr>
              <w:t>于</w:t>
            </w:r>
            <w:r>
              <w:rPr>
                <w:rFonts w:ascii="Times New Roman" w:hAnsi="Times New Roman"/>
                <w:szCs w:val="21"/>
              </w:rPr>
              <w:t>危废间，</w:t>
            </w:r>
            <w:r>
              <w:rPr>
                <w:rFonts w:hint="eastAsia"/>
                <w:szCs w:val="21"/>
              </w:rPr>
              <w:t>定期交</w:t>
            </w:r>
            <w:r>
              <w:rPr>
                <w:rFonts w:ascii="Times New Roman" w:hAnsi="Times New Roman"/>
                <w:szCs w:val="21"/>
              </w:rPr>
              <w:t>由有资质单位处理</w:t>
            </w:r>
          </w:p>
        </w:tc>
        <w:tc>
          <w:tcPr>
            <w:tcW w:w="1958" w:type="dxa"/>
            <w:vAlign w:val="center"/>
          </w:tcPr>
          <w:p w14:paraId="3D44126B">
            <w:pPr>
              <w:pStyle w:val="23"/>
              <w:bidi w:val="0"/>
              <w:jc w:val="center"/>
              <w:rPr>
                <w:rFonts w:hint="default" w:eastAsia="宋体"/>
                <w:lang w:val="en-US" w:eastAsia="zh-CN"/>
              </w:rPr>
            </w:pPr>
            <w:r>
              <w:rPr>
                <w:rFonts w:hint="eastAsia"/>
                <w:lang w:val="en-US" w:eastAsia="zh-CN"/>
              </w:rPr>
              <w:t>实际未建设机加工、喷粉生产线，因此无相关固废</w:t>
            </w:r>
          </w:p>
        </w:tc>
      </w:tr>
      <w:tr w14:paraId="0B70E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 w:hRule="atLeast"/>
          <w:jc w:val="center"/>
        </w:trPr>
        <w:tc>
          <w:tcPr>
            <w:tcW w:w="561" w:type="dxa"/>
            <w:vMerge w:val="continue"/>
            <w:vAlign w:val="center"/>
          </w:tcPr>
          <w:p w14:paraId="40FB0507">
            <w:pPr>
              <w:pStyle w:val="23"/>
              <w:bidi w:val="0"/>
              <w:jc w:val="center"/>
            </w:pPr>
          </w:p>
        </w:tc>
        <w:tc>
          <w:tcPr>
            <w:tcW w:w="1074" w:type="dxa"/>
            <w:tcBorders>
              <w:top w:val="single" w:color="000000" w:sz="4" w:space="0"/>
            </w:tcBorders>
            <w:vAlign w:val="center"/>
          </w:tcPr>
          <w:p w14:paraId="47E581B0">
            <w:pPr>
              <w:pStyle w:val="23"/>
              <w:bidi w:val="0"/>
              <w:jc w:val="center"/>
              <w:rPr>
                <w:rFonts w:hint="default" w:eastAsia="宋体"/>
                <w:lang w:val="en-US" w:eastAsia="zh-CN"/>
              </w:rPr>
            </w:pPr>
            <w:r>
              <w:rPr>
                <w:rFonts w:hint="eastAsia"/>
                <w:lang w:val="en-US" w:eastAsia="zh-CN"/>
              </w:rPr>
              <w:t>环境风险</w:t>
            </w:r>
          </w:p>
        </w:tc>
        <w:tc>
          <w:tcPr>
            <w:tcW w:w="5258" w:type="dxa"/>
            <w:gridSpan w:val="2"/>
            <w:vAlign w:val="center"/>
          </w:tcPr>
          <w:p w14:paraId="2F41B971">
            <w:pPr>
              <w:pStyle w:val="23"/>
              <w:bidi w:val="0"/>
              <w:jc w:val="left"/>
            </w:pPr>
            <w:r>
              <w:rPr>
                <w:rFonts w:hint="eastAsia"/>
                <w:szCs w:val="21"/>
              </w:rPr>
              <w:t>加强环境管理，做好原辅料、成品的储存</w:t>
            </w:r>
            <w:r>
              <w:rPr>
                <w:rFonts w:hint="eastAsia"/>
                <w:szCs w:val="21"/>
                <w:lang w:eastAsia="zh-CN"/>
              </w:rPr>
              <w:t>，</w:t>
            </w:r>
            <w:r>
              <w:rPr>
                <w:rFonts w:hint="eastAsia"/>
                <w:szCs w:val="21"/>
                <w:lang w:val="en-US" w:eastAsia="zh-CN"/>
              </w:rPr>
              <w:t>厂区内采取分区防渗，</w:t>
            </w:r>
            <w:r>
              <w:rPr>
                <w:rFonts w:hint="eastAsia"/>
                <w:szCs w:val="21"/>
              </w:rPr>
              <w:t>生产操作过程中，加强安全管理。</w:t>
            </w:r>
          </w:p>
        </w:tc>
        <w:tc>
          <w:tcPr>
            <w:tcW w:w="5042" w:type="dxa"/>
            <w:gridSpan w:val="2"/>
            <w:vAlign w:val="center"/>
          </w:tcPr>
          <w:p w14:paraId="43581B12">
            <w:pPr>
              <w:pStyle w:val="23"/>
              <w:bidi w:val="0"/>
              <w:ind w:left="0" w:leftChars="0" w:right="0" w:rightChars="0" w:firstLine="0" w:firstLineChars="0"/>
              <w:jc w:val="left"/>
              <w:rPr>
                <w:rFonts w:hint="eastAsia" w:ascii="Times New Roman" w:hAnsi="Times New Roman" w:eastAsia="宋体" w:cs="Times New Roman"/>
                <w:kern w:val="2"/>
                <w:sz w:val="21"/>
                <w:szCs w:val="20"/>
                <w:lang w:val="en-US" w:eastAsia="zh-CN" w:bidi="ar"/>
              </w:rPr>
            </w:pPr>
            <w:r>
              <w:rPr>
                <w:rFonts w:hint="eastAsia"/>
                <w:szCs w:val="21"/>
              </w:rPr>
              <w:t>加强环境管理，做好原辅料、成品的储存</w:t>
            </w:r>
            <w:r>
              <w:rPr>
                <w:rFonts w:hint="eastAsia"/>
                <w:szCs w:val="21"/>
                <w:lang w:eastAsia="zh-CN"/>
              </w:rPr>
              <w:t>，</w:t>
            </w:r>
            <w:r>
              <w:rPr>
                <w:rFonts w:hint="eastAsia"/>
                <w:szCs w:val="21"/>
                <w:lang w:val="en-US" w:eastAsia="zh-CN"/>
              </w:rPr>
              <w:t>厂区内采取分区防渗，</w:t>
            </w:r>
            <w:r>
              <w:rPr>
                <w:rFonts w:hint="eastAsia"/>
                <w:szCs w:val="21"/>
              </w:rPr>
              <w:t>生产操作过程中，加强安全管理。</w:t>
            </w:r>
          </w:p>
        </w:tc>
        <w:tc>
          <w:tcPr>
            <w:tcW w:w="1958" w:type="dxa"/>
            <w:vAlign w:val="center"/>
          </w:tcPr>
          <w:p w14:paraId="6AC18845">
            <w:pPr>
              <w:pStyle w:val="23"/>
              <w:bidi w:val="0"/>
              <w:jc w:val="center"/>
              <w:rPr>
                <w:rFonts w:hint="default" w:eastAsia="宋体"/>
                <w:lang w:val="en-US" w:eastAsia="zh-CN"/>
              </w:rPr>
            </w:pPr>
            <w:r>
              <w:rPr>
                <w:rFonts w:hint="eastAsia"/>
                <w:lang w:val="en-US" w:eastAsia="zh-CN"/>
              </w:rPr>
              <w:t>与环评一致</w:t>
            </w:r>
          </w:p>
        </w:tc>
      </w:tr>
    </w:tbl>
    <w:p w14:paraId="06B679A0">
      <w:pPr>
        <w:pStyle w:val="22"/>
        <w:bidi w:val="0"/>
        <w:rPr>
          <w:rFonts w:hint="eastAsia"/>
          <w:lang w:val="en-US" w:eastAsia="zh-CN"/>
        </w:rPr>
        <w:sectPr>
          <w:pgSz w:w="16838" w:h="11906" w:orient="landscape"/>
          <w:pgMar w:top="1800" w:right="1440" w:bottom="1800" w:left="1440" w:header="851" w:footer="992" w:gutter="0"/>
          <w:pgNumType w:fmt="decimal"/>
          <w:cols w:space="720" w:num="1"/>
          <w:docGrid w:type="lines" w:linePitch="312" w:charSpace="0"/>
        </w:sectPr>
      </w:pPr>
    </w:p>
    <w:p w14:paraId="3406FBEF">
      <w:pPr>
        <w:pStyle w:val="7"/>
        <w:bidi w:val="0"/>
        <w:rPr>
          <w:rFonts w:hint="eastAsia"/>
          <w:lang w:val="en-US" w:eastAsia="zh-CN"/>
        </w:rPr>
      </w:pPr>
      <w:r>
        <w:rPr>
          <w:rFonts w:hint="eastAsia"/>
          <w:lang w:val="en-US" w:eastAsia="zh-CN"/>
        </w:rPr>
        <w:t>1.2项目变动情况说明</w:t>
      </w:r>
    </w:p>
    <w:p w14:paraId="19C35928">
      <w:pPr>
        <w:rPr>
          <w:rFonts w:hint="eastAsia"/>
          <w:lang w:eastAsia="zh-CN"/>
        </w:rPr>
      </w:pPr>
      <w:r>
        <w:rPr>
          <w:rFonts w:hint="eastAsia"/>
          <w:lang w:eastAsia="zh-CN"/>
        </w:rPr>
        <w:t>项目建设过程中结合实际情况发生变动情况见表</w:t>
      </w:r>
      <w:r>
        <w:rPr>
          <w:rFonts w:hint="eastAsia"/>
          <w:lang w:val="en-US" w:eastAsia="zh-CN"/>
        </w:rPr>
        <w:t>2.1-7</w:t>
      </w:r>
      <w:r>
        <w:rPr>
          <w:rFonts w:hint="eastAsia"/>
          <w:lang w:eastAsia="zh-CN"/>
        </w:rPr>
        <w:t>。其余建设内容与环评一致。对照《污染影响类建设项目重大变动清单（试行）》，本项目所有变动不属于重大变更，因此无需重新报批环评。</w:t>
      </w:r>
    </w:p>
    <w:p w14:paraId="66823C0C">
      <w:pPr>
        <w:pStyle w:val="22"/>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表2-7 项目变动与《污染影响类建设项目重大变动清单（试行）》对照表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
        <w:gridCol w:w="4147"/>
        <w:gridCol w:w="2129"/>
        <w:gridCol w:w="1805"/>
      </w:tblGrid>
      <w:tr w14:paraId="5A54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05BA001D">
            <w:pPr>
              <w:pStyle w:val="23"/>
              <w:keepNext w:val="0"/>
              <w:keepLines w:val="0"/>
              <w:suppressLineNumbers w:val="0"/>
              <w:bidi w:val="0"/>
              <w:spacing w:before="0" w:beforeAutospacing="0" w:after="0" w:afterAutospacing="0"/>
              <w:ind w:left="0" w:right="0"/>
              <w:jc w:val="center"/>
              <w:rPr>
                <w:rFonts w:hint="default"/>
              </w:rPr>
            </w:pPr>
            <w:r>
              <w:rPr>
                <w:rFonts w:hint="eastAsia"/>
              </w:rPr>
              <w:t>序号</w:t>
            </w:r>
          </w:p>
        </w:tc>
        <w:tc>
          <w:tcPr>
            <w:tcW w:w="4147" w:type="dxa"/>
            <w:noWrap w:val="0"/>
            <w:vAlign w:val="center"/>
          </w:tcPr>
          <w:p w14:paraId="6559B516">
            <w:pPr>
              <w:pStyle w:val="23"/>
              <w:keepNext w:val="0"/>
              <w:keepLines w:val="0"/>
              <w:suppressLineNumbers w:val="0"/>
              <w:bidi w:val="0"/>
              <w:spacing w:before="0" w:beforeAutospacing="0" w:after="0" w:afterAutospacing="0"/>
              <w:ind w:left="0" w:right="0"/>
              <w:jc w:val="center"/>
              <w:rPr>
                <w:rFonts w:hint="eastAsia"/>
              </w:rPr>
            </w:pPr>
            <w:r>
              <w:rPr>
                <w:rFonts w:hint="eastAsia"/>
              </w:rPr>
              <w:t>《污染影响类建设项目重大变动清单（试行）》</w:t>
            </w:r>
          </w:p>
        </w:tc>
        <w:tc>
          <w:tcPr>
            <w:tcW w:w="2129" w:type="dxa"/>
            <w:noWrap w:val="0"/>
            <w:vAlign w:val="center"/>
          </w:tcPr>
          <w:p w14:paraId="3D0663BC">
            <w:pPr>
              <w:pStyle w:val="23"/>
              <w:keepNext w:val="0"/>
              <w:keepLines w:val="0"/>
              <w:suppressLineNumbers w:val="0"/>
              <w:bidi w:val="0"/>
              <w:spacing w:before="0" w:beforeAutospacing="0" w:after="0" w:afterAutospacing="0"/>
              <w:ind w:left="0" w:right="0"/>
              <w:jc w:val="center"/>
              <w:rPr>
                <w:rFonts w:hint="default"/>
              </w:rPr>
            </w:pPr>
            <w:r>
              <w:rPr>
                <w:rFonts w:hint="eastAsia"/>
                <w:lang w:val="en-US" w:eastAsia="zh-CN"/>
              </w:rPr>
              <w:t>本项目</w:t>
            </w:r>
            <w:r>
              <w:rPr>
                <w:rFonts w:hint="eastAsia"/>
              </w:rPr>
              <w:t>实际建设内容</w:t>
            </w:r>
          </w:p>
        </w:tc>
        <w:tc>
          <w:tcPr>
            <w:tcW w:w="1805" w:type="dxa"/>
            <w:noWrap w:val="0"/>
            <w:vAlign w:val="center"/>
          </w:tcPr>
          <w:p w14:paraId="29E1B3BD">
            <w:pPr>
              <w:pStyle w:val="23"/>
              <w:keepNext w:val="0"/>
              <w:keepLines w:val="0"/>
              <w:suppressLineNumbers w:val="0"/>
              <w:bidi w:val="0"/>
              <w:spacing w:before="0" w:beforeAutospacing="0" w:after="0" w:afterAutospacing="0"/>
              <w:ind w:left="0" w:right="0"/>
              <w:jc w:val="center"/>
              <w:rPr>
                <w:rFonts w:hint="eastAsia"/>
                <w:lang w:eastAsia="zh-CN"/>
              </w:rPr>
            </w:pPr>
            <w:r>
              <w:rPr>
                <w:rFonts w:hint="eastAsia"/>
                <w:lang w:eastAsia="zh-CN"/>
              </w:rPr>
              <w:t>是否发生重大变动</w:t>
            </w:r>
          </w:p>
        </w:tc>
      </w:tr>
      <w:tr w14:paraId="2583B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5611252E">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1</w:t>
            </w:r>
          </w:p>
        </w:tc>
        <w:tc>
          <w:tcPr>
            <w:tcW w:w="4147" w:type="dxa"/>
            <w:noWrap w:val="0"/>
            <w:vAlign w:val="center"/>
          </w:tcPr>
          <w:p w14:paraId="5EF7EF5B">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1.建设项目开发、使用功能发生变化的</w:t>
            </w:r>
            <w:r>
              <w:rPr>
                <w:rFonts w:hint="eastAsia"/>
                <w:lang w:eastAsia="zh-CN"/>
              </w:rPr>
              <w:t>；</w:t>
            </w:r>
          </w:p>
        </w:tc>
        <w:tc>
          <w:tcPr>
            <w:tcW w:w="2129" w:type="dxa"/>
            <w:noWrap w:val="0"/>
            <w:vAlign w:val="center"/>
          </w:tcPr>
          <w:p w14:paraId="28A3F8C1">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本项目为新建项目；</w:t>
            </w:r>
          </w:p>
        </w:tc>
        <w:tc>
          <w:tcPr>
            <w:tcW w:w="1805" w:type="dxa"/>
            <w:noWrap w:val="0"/>
            <w:vAlign w:val="center"/>
          </w:tcPr>
          <w:p w14:paraId="466DC22E">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与环评一致，未</w:t>
            </w:r>
            <w:r>
              <w:rPr>
                <w:rFonts w:hint="eastAsia"/>
                <w:lang w:eastAsia="zh-CN"/>
              </w:rPr>
              <w:t>发生重大变动；</w:t>
            </w:r>
          </w:p>
        </w:tc>
      </w:tr>
      <w:tr w14:paraId="518A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441" w:type="dxa"/>
            <w:noWrap w:val="0"/>
            <w:vAlign w:val="center"/>
          </w:tcPr>
          <w:p w14:paraId="2039EA5B">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lang w:val="en-US" w:eastAsia="zh-CN"/>
              </w:rPr>
              <w:t>2</w:t>
            </w:r>
          </w:p>
        </w:tc>
        <w:tc>
          <w:tcPr>
            <w:tcW w:w="4147" w:type="dxa"/>
            <w:noWrap w:val="0"/>
            <w:vAlign w:val="center"/>
          </w:tcPr>
          <w:p w14:paraId="0B699FAA">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w:t>
            </w:r>
            <w:r>
              <w:rPr>
                <w:rFonts w:hint="default"/>
                <w:lang w:val="en-US" w:eastAsia="zh-CN"/>
              </w:rPr>
              <w:t>生产、处置或储存能力增大30%及以上的。</w:t>
            </w:r>
          </w:p>
          <w:p w14:paraId="39C6DF42">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2.</w:t>
            </w:r>
            <w:r>
              <w:rPr>
                <w:rFonts w:hint="default"/>
                <w:lang w:val="en-US" w:eastAsia="zh-CN"/>
              </w:rPr>
              <w:t>生产、处置或储存能力增大，导致废水第一类污染物排放量增加的</w:t>
            </w:r>
            <w:r>
              <w:rPr>
                <w:rFonts w:hint="eastAsia"/>
                <w:lang w:val="en-US" w:eastAsia="zh-CN"/>
              </w:rPr>
              <w:t>；</w:t>
            </w:r>
          </w:p>
          <w:p w14:paraId="0AD2100F">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3.</w:t>
            </w:r>
            <w:r>
              <w:rPr>
                <w:rFonts w:hint="default"/>
                <w:lang w:val="en-US" w:eastAsia="zh-CN"/>
              </w:rPr>
              <w:t>位于环境质量不达标区的建设项目生产、处置或储存能力增大，导致相应污染物排放量增加的</w:t>
            </w:r>
            <w:r>
              <w:rPr>
                <w:rFonts w:hint="eastAsia"/>
                <w:lang w:val="en-US" w:eastAsia="zh-CN"/>
              </w:rPr>
              <w:t>；位于达标区的建设项目生产、处置或储存能力增大，导致污染物排放量增加10%及以上的；</w:t>
            </w:r>
          </w:p>
        </w:tc>
        <w:tc>
          <w:tcPr>
            <w:tcW w:w="2129" w:type="dxa"/>
            <w:noWrap w:val="0"/>
            <w:vAlign w:val="center"/>
          </w:tcPr>
          <w:p w14:paraId="5EC233C5">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本次验收为阶段性验收，项目生产</w:t>
            </w:r>
            <w:r>
              <w:rPr>
                <w:rFonts w:hint="default"/>
                <w:lang w:val="en-US" w:eastAsia="zh-CN"/>
              </w:rPr>
              <w:t>、处置或储存能力</w:t>
            </w:r>
            <w:r>
              <w:rPr>
                <w:rFonts w:hint="eastAsia"/>
                <w:lang w:val="en-US" w:eastAsia="zh-CN"/>
              </w:rPr>
              <w:t>未</w:t>
            </w:r>
            <w:r>
              <w:rPr>
                <w:rFonts w:hint="default"/>
                <w:lang w:val="en-US" w:eastAsia="zh-CN"/>
              </w:rPr>
              <w:t>增大</w:t>
            </w:r>
            <w:r>
              <w:rPr>
                <w:rFonts w:hint="eastAsia"/>
                <w:lang w:val="en-US" w:eastAsia="zh-CN"/>
              </w:rPr>
              <w:t>，污染物排放量未增加；</w:t>
            </w:r>
          </w:p>
        </w:tc>
        <w:tc>
          <w:tcPr>
            <w:tcW w:w="1805" w:type="dxa"/>
            <w:noWrap w:val="0"/>
            <w:vAlign w:val="center"/>
          </w:tcPr>
          <w:p w14:paraId="04BFAF1E">
            <w:pPr>
              <w:pStyle w:val="23"/>
              <w:keepNext w:val="0"/>
              <w:keepLines w:val="0"/>
              <w:suppressLineNumbers w:val="0"/>
              <w:bidi w:val="0"/>
              <w:spacing w:before="0" w:beforeAutospacing="0" w:after="0" w:afterAutospacing="0"/>
              <w:ind w:left="0" w:right="0"/>
              <w:jc w:val="both"/>
              <w:rPr>
                <w:rFonts w:hint="default"/>
                <w:lang w:val="en-US"/>
              </w:rPr>
            </w:pPr>
            <w:r>
              <w:rPr>
                <w:rFonts w:hint="eastAsia"/>
                <w:lang w:val="en-US" w:eastAsia="zh-CN"/>
              </w:rPr>
              <w:t>阶段性验收，生产能力减小，未发生重大变动；</w:t>
            </w:r>
          </w:p>
        </w:tc>
      </w:tr>
      <w:tr w14:paraId="11B9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15674644">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3</w:t>
            </w:r>
          </w:p>
        </w:tc>
        <w:tc>
          <w:tcPr>
            <w:tcW w:w="4147" w:type="dxa"/>
            <w:noWrap w:val="0"/>
            <w:vAlign w:val="center"/>
          </w:tcPr>
          <w:p w14:paraId="3F10AEC4">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重新选址；在原厂址附近调整（包括总平面布置变化）导致环境防护距离范围变化且新增敏感点的；</w:t>
            </w:r>
          </w:p>
        </w:tc>
        <w:tc>
          <w:tcPr>
            <w:tcW w:w="2129" w:type="dxa"/>
            <w:noWrap w:val="0"/>
            <w:vAlign w:val="center"/>
          </w:tcPr>
          <w:p w14:paraId="23D69134">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本项目位于</w:t>
            </w:r>
            <w:r>
              <w:rPr>
                <w:lang w:bidi="ar"/>
              </w:rPr>
              <w:t>新材料产业园1号厂房1层</w:t>
            </w:r>
            <w:r>
              <w:rPr>
                <w:rFonts w:hint="eastAsia"/>
                <w:lang w:val="en-US" w:eastAsia="zh-CN"/>
              </w:rPr>
              <w:t>，未重新选址；</w:t>
            </w:r>
          </w:p>
        </w:tc>
        <w:tc>
          <w:tcPr>
            <w:tcW w:w="1805" w:type="dxa"/>
            <w:noWrap w:val="0"/>
            <w:vAlign w:val="center"/>
          </w:tcPr>
          <w:p w14:paraId="5FF7AC1E">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与环评一致，未</w:t>
            </w:r>
            <w:r>
              <w:rPr>
                <w:rFonts w:hint="eastAsia"/>
                <w:lang w:eastAsia="zh-CN"/>
              </w:rPr>
              <w:t>发生重大变动；</w:t>
            </w:r>
          </w:p>
        </w:tc>
      </w:tr>
      <w:tr w14:paraId="54223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41" w:type="dxa"/>
            <w:noWrap w:val="0"/>
            <w:vAlign w:val="center"/>
          </w:tcPr>
          <w:p w14:paraId="3C493E4A">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4</w:t>
            </w:r>
          </w:p>
        </w:tc>
        <w:tc>
          <w:tcPr>
            <w:tcW w:w="4147" w:type="dxa"/>
            <w:noWrap w:val="0"/>
            <w:vAlign w:val="center"/>
          </w:tcPr>
          <w:p w14:paraId="35D805CE">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新增产品品种或生产工艺（含主要生产装置、设备及配套设施）、主要原辅材料、燃料变化，导致以下情形之一：</w:t>
            </w:r>
          </w:p>
          <w:p w14:paraId="7597F26B">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（1）新增排放污染物种类的（毒性、挥发性降低的除外）；</w:t>
            </w:r>
          </w:p>
          <w:p w14:paraId="1D7A2BC2">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（2）位于环境质量不达标区的建设项目相应污染物排放量增加的；</w:t>
            </w:r>
          </w:p>
          <w:p w14:paraId="559384A4">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（3）废水第一类污染物排放量增加的；</w:t>
            </w:r>
          </w:p>
          <w:p w14:paraId="2D25E004">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（4）其他污染物排放量增加10%及以上的；</w:t>
            </w:r>
          </w:p>
        </w:tc>
        <w:tc>
          <w:tcPr>
            <w:tcW w:w="2129" w:type="dxa"/>
            <w:noWrap w:val="0"/>
            <w:vAlign w:val="center"/>
          </w:tcPr>
          <w:p w14:paraId="5CAFF938">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本项目打磨工序配套除尘措施由布袋除尘比变更为湿式除尘，并新增四台打磨机器人，除尘过程中废水循环使用不排放，其他与环评一致；</w:t>
            </w:r>
          </w:p>
        </w:tc>
        <w:tc>
          <w:tcPr>
            <w:tcW w:w="1805" w:type="dxa"/>
            <w:noWrap w:val="0"/>
            <w:vAlign w:val="center"/>
          </w:tcPr>
          <w:p w14:paraId="4C50207F">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打磨除尘工序废气处理工艺变更为湿式除尘，不增加污染物排放，其余与环评一致，未</w:t>
            </w:r>
            <w:r>
              <w:rPr>
                <w:rFonts w:hint="eastAsia"/>
                <w:lang w:eastAsia="zh-CN"/>
              </w:rPr>
              <w:t>发生重大变动；</w:t>
            </w:r>
          </w:p>
        </w:tc>
      </w:tr>
      <w:tr w14:paraId="7AAC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441" w:type="dxa"/>
            <w:noWrap w:val="0"/>
            <w:vAlign w:val="center"/>
          </w:tcPr>
          <w:p w14:paraId="7EE3F735">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5</w:t>
            </w:r>
          </w:p>
        </w:tc>
        <w:tc>
          <w:tcPr>
            <w:tcW w:w="4147" w:type="dxa"/>
            <w:noWrap w:val="0"/>
            <w:vAlign w:val="center"/>
          </w:tcPr>
          <w:p w14:paraId="4A2AC0F2">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物料运输、装卸、贮存方式变化，导致大气污染物无组织排放量增加10%及以上的；</w:t>
            </w:r>
          </w:p>
        </w:tc>
        <w:tc>
          <w:tcPr>
            <w:tcW w:w="2129" w:type="dxa"/>
            <w:noWrap w:val="0"/>
            <w:vAlign w:val="center"/>
          </w:tcPr>
          <w:p w14:paraId="6D5DA740">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本项目实际生产相较于环评，物料运输、装卸、贮存方式未发生变化；</w:t>
            </w:r>
          </w:p>
        </w:tc>
        <w:tc>
          <w:tcPr>
            <w:tcW w:w="1805" w:type="dxa"/>
            <w:noWrap w:val="0"/>
            <w:vAlign w:val="center"/>
          </w:tcPr>
          <w:p w14:paraId="3A401B83">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与环评一致，未</w:t>
            </w:r>
            <w:r>
              <w:rPr>
                <w:rFonts w:hint="eastAsia"/>
                <w:lang w:eastAsia="zh-CN"/>
              </w:rPr>
              <w:t>发生重大变动；</w:t>
            </w:r>
          </w:p>
        </w:tc>
      </w:tr>
      <w:tr w14:paraId="1BF4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trPr>
        <w:tc>
          <w:tcPr>
            <w:tcW w:w="441" w:type="dxa"/>
            <w:noWrap w:val="0"/>
            <w:vAlign w:val="center"/>
          </w:tcPr>
          <w:p w14:paraId="482D3557">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6</w:t>
            </w:r>
          </w:p>
        </w:tc>
        <w:tc>
          <w:tcPr>
            <w:tcW w:w="4147" w:type="dxa"/>
            <w:noWrap w:val="0"/>
            <w:vAlign w:val="center"/>
          </w:tcPr>
          <w:p w14:paraId="2812F14F">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废气、废水污染防治措施变化，导致第6条中所列情形之一（废气无组织排放改为有组织排放、污染防治措施强化或改进的除外）或大气污染物无组织排放量增加10%及以上的；</w:t>
            </w:r>
          </w:p>
        </w:tc>
        <w:tc>
          <w:tcPr>
            <w:tcW w:w="2129" w:type="dxa"/>
            <w:noWrap w:val="0"/>
            <w:vAlign w:val="center"/>
          </w:tcPr>
          <w:p w14:paraId="1F069105">
            <w:pPr>
              <w:pStyle w:val="23"/>
              <w:keepNext w:val="0"/>
              <w:keepLines w:val="0"/>
              <w:suppressLineNumbers w:val="0"/>
              <w:bidi w:val="0"/>
              <w:spacing w:before="0" w:beforeAutospacing="0" w:after="0" w:afterAutospacing="0"/>
              <w:ind w:left="0" w:right="0"/>
              <w:jc w:val="both"/>
              <w:rPr>
                <w:rFonts w:hint="eastAsia"/>
                <w:lang w:val="en-US" w:eastAsia="zh-CN"/>
              </w:rPr>
            </w:pPr>
            <w:r>
              <w:rPr>
                <w:rFonts w:hint="eastAsia"/>
                <w:lang w:val="en-US" w:eastAsia="zh-CN"/>
              </w:rPr>
              <w:t>本项目打磨工序除尘次措施由布袋除尘变更为湿式除尘，除尘效率仍能维持90%，不会导致污染物排放量增加；</w:t>
            </w:r>
          </w:p>
        </w:tc>
        <w:tc>
          <w:tcPr>
            <w:tcW w:w="1805" w:type="dxa"/>
            <w:noWrap w:val="0"/>
            <w:vAlign w:val="center"/>
          </w:tcPr>
          <w:p w14:paraId="7F0A82F3">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未</w:t>
            </w:r>
            <w:r>
              <w:rPr>
                <w:rFonts w:hint="eastAsia"/>
                <w:lang w:eastAsia="zh-CN"/>
              </w:rPr>
              <w:t>发生重大变动</w:t>
            </w:r>
          </w:p>
        </w:tc>
      </w:tr>
      <w:tr w14:paraId="53315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5897482E">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7</w:t>
            </w:r>
          </w:p>
        </w:tc>
        <w:tc>
          <w:tcPr>
            <w:tcW w:w="4147" w:type="dxa"/>
            <w:noWrap w:val="0"/>
            <w:vAlign w:val="center"/>
          </w:tcPr>
          <w:p w14:paraId="5ECC6EC7">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新增废水直接排放口；废水由间接排放改为直接排放；废水直接排放口位置变化，导致不利环境影响加重的</w:t>
            </w:r>
            <w:r>
              <w:rPr>
                <w:rFonts w:hint="eastAsia"/>
                <w:lang w:eastAsia="zh-CN"/>
              </w:rPr>
              <w:t>；</w:t>
            </w:r>
          </w:p>
        </w:tc>
        <w:tc>
          <w:tcPr>
            <w:tcW w:w="2129" w:type="dxa"/>
            <w:noWrap w:val="0"/>
            <w:vAlign w:val="center"/>
          </w:tcPr>
          <w:p w14:paraId="59711CBE">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本项目不新增</w:t>
            </w:r>
            <w:r>
              <w:rPr>
                <w:rFonts w:hint="eastAsia"/>
              </w:rPr>
              <w:t>直接排放口</w:t>
            </w:r>
            <w:r>
              <w:rPr>
                <w:rFonts w:hint="eastAsia"/>
                <w:lang w:eastAsia="zh-CN"/>
              </w:rPr>
              <w:t>，</w:t>
            </w:r>
            <w:r>
              <w:rPr>
                <w:rFonts w:hint="eastAsia"/>
              </w:rPr>
              <w:t>废水</w:t>
            </w:r>
            <w:r>
              <w:rPr>
                <w:rFonts w:hint="default"/>
              </w:rPr>
              <w:t>经园区污水管网排入</w:t>
            </w:r>
            <w:r>
              <w:t>江南产业集中区第一污水处理厂</w:t>
            </w:r>
            <w:r>
              <w:rPr>
                <w:rFonts w:hint="default"/>
              </w:rPr>
              <w:t>处理</w:t>
            </w:r>
            <w:r>
              <w:rPr>
                <w:rFonts w:hint="eastAsia"/>
                <w:lang w:eastAsia="zh-CN"/>
              </w:rPr>
              <w:t>；</w:t>
            </w:r>
          </w:p>
        </w:tc>
        <w:tc>
          <w:tcPr>
            <w:tcW w:w="1805" w:type="dxa"/>
            <w:noWrap w:val="0"/>
            <w:vAlign w:val="center"/>
          </w:tcPr>
          <w:p w14:paraId="1FEA8655">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07F0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4FBE4D9B">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8</w:t>
            </w:r>
          </w:p>
        </w:tc>
        <w:tc>
          <w:tcPr>
            <w:tcW w:w="4147" w:type="dxa"/>
            <w:noWrap w:val="0"/>
            <w:vAlign w:val="center"/>
          </w:tcPr>
          <w:p w14:paraId="61395E93">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新增废气主要排放口（废气无组织排放改为有组织排放的除外）；主要排放口排气筒高度降低10%及以上的</w:t>
            </w:r>
            <w:r>
              <w:rPr>
                <w:rFonts w:hint="eastAsia"/>
                <w:lang w:eastAsia="zh-CN"/>
              </w:rPr>
              <w:t>；</w:t>
            </w:r>
          </w:p>
        </w:tc>
        <w:tc>
          <w:tcPr>
            <w:tcW w:w="2129" w:type="dxa"/>
            <w:noWrap w:val="0"/>
            <w:vAlign w:val="center"/>
          </w:tcPr>
          <w:p w14:paraId="35484285">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本项目不涉及</w:t>
            </w:r>
            <w:r>
              <w:rPr>
                <w:rFonts w:hint="eastAsia"/>
              </w:rPr>
              <w:t>废气主要排放口</w:t>
            </w:r>
            <w:r>
              <w:rPr>
                <w:rFonts w:hint="eastAsia"/>
                <w:lang w:eastAsia="zh-CN"/>
              </w:rPr>
              <w:t>，</w:t>
            </w:r>
            <w:r>
              <w:rPr>
                <w:rFonts w:hint="eastAsia"/>
                <w:lang w:val="en-US" w:eastAsia="zh-CN"/>
              </w:rPr>
              <w:t>未降低废气排气筒高度；</w:t>
            </w:r>
          </w:p>
        </w:tc>
        <w:tc>
          <w:tcPr>
            <w:tcW w:w="1805" w:type="dxa"/>
            <w:noWrap w:val="0"/>
            <w:vAlign w:val="center"/>
          </w:tcPr>
          <w:p w14:paraId="7805C823">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3DC7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441" w:type="dxa"/>
            <w:noWrap w:val="0"/>
            <w:vAlign w:val="center"/>
          </w:tcPr>
          <w:p w14:paraId="72CFDA33">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9</w:t>
            </w:r>
          </w:p>
        </w:tc>
        <w:tc>
          <w:tcPr>
            <w:tcW w:w="4147" w:type="dxa"/>
            <w:noWrap w:val="0"/>
            <w:vAlign w:val="center"/>
          </w:tcPr>
          <w:p w14:paraId="0DD85C4C">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噪声、土壤或地下水污染防治措施变化，导致不利环境影响加重的</w:t>
            </w:r>
            <w:r>
              <w:rPr>
                <w:rFonts w:hint="eastAsia"/>
                <w:lang w:eastAsia="zh-CN"/>
              </w:rPr>
              <w:t>；</w:t>
            </w:r>
          </w:p>
        </w:tc>
        <w:tc>
          <w:tcPr>
            <w:tcW w:w="2129" w:type="dxa"/>
            <w:noWrap w:val="0"/>
            <w:vAlign w:val="center"/>
          </w:tcPr>
          <w:p w14:paraId="3DDE3E9A">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本项目实际建设位于现有厂区厂房内预留空地，相较于环评，</w:t>
            </w:r>
            <w:r>
              <w:rPr>
                <w:rFonts w:hint="eastAsia"/>
              </w:rPr>
              <w:t>噪声、土壤或地下水污染防治措施</w:t>
            </w:r>
            <w:r>
              <w:rPr>
                <w:rFonts w:hint="eastAsia"/>
                <w:lang w:val="en-US" w:eastAsia="zh-CN"/>
              </w:rPr>
              <w:t>未发生</w:t>
            </w:r>
            <w:r>
              <w:rPr>
                <w:rFonts w:hint="eastAsia"/>
              </w:rPr>
              <w:t>变化</w:t>
            </w:r>
            <w:r>
              <w:rPr>
                <w:rFonts w:hint="eastAsia"/>
                <w:lang w:eastAsia="zh-CN"/>
              </w:rPr>
              <w:t>；</w:t>
            </w:r>
          </w:p>
        </w:tc>
        <w:tc>
          <w:tcPr>
            <w:tcW w:w="1805" w:type="dxa"/>
            <w:noWrap w:val="0"/>
            <w:vAlign w:val="center"/>
          </w:tcPr>
          <w:p w14:paraId="14DBCF3F">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2D91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441" w:type="dxa"/>
            <w:noWrap w:val="0"/>
            <w:vAlign w:val="center"/>
          </w:tcPr>
          <w:p w14:paraId="408B243E">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10</w:t>
            </w:r>
          </w:p>
        </w:tc>
        <w:tc>
          <w:tcPr>
            <w:tcW w:w="4147" w:type="dxa"/>
            <w:noWrap w:val="0"/>
            <w:vAlign w:val="center"/>
          </w:tcPr>
          <w:p w14:paraId="234F2B2F">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固体废物利用处置方式由委托外单位利用处置改为自行利用处置的（自行利用处置设施单独开展环境影响评价的除外）；固体废物自行处置方式变化，导致不利环境影响加重的</w:t>
            </w:r>
            <w:r>
              <w:rPr>
                <w:rFonts w:hint="eastAsia"/>
                <w:lang w:eastAsia="zh-CN"/>
              </w:rPr>
              <w:t>；</w:t>
            </w:r>
          </w:p>
        </w:tc>
        <w:tc>
          <w:tcPr>
            <w:tcW w:w="2129" w:type="dxa"/>
            <w:noWrap w:val="0"/>
            <w:vAlign w:val="center"/>
          </w:tcPr>
          <w:p w14:paraId="392233D7">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本项目固体废物实际生产相较于环评，</w:t>
            </w:r>
            <w:r>
              <w:rPr>
                <w:rFonts w:hint="eastAsia"/>
              </w:rPr>
              <w:t>固体废物利用处置方式</w:t>
            </w:r>
            <w:r>
              <w:rPr>
                <w:rFonts w:hint="eastAsia"/>
                <w:lang w:val="en-US" w:eastAsia="zh-CN"/>
              </w:rPr>
              <w:t>依旧为</w:t>
            </w:r>
            <w:r>
              <w:rPr>
                <w:rFonts w:hint="eastAsia"/>
              </w:rPr>
              <w:t>委托外单位利用处置</w:t>
            </w:r>
            <w:r>
              <w:rPr>
                <w:rFonts w:hint="eastAsia"/>
                <w:lang w:eastAsia="zh-CN"/>
              </w:rPr>
              <w:t>，</w:t>
            </w:r>
            <w:r>
              <w:rPr>
                <w:rFonts w:hint="eastAsia"/>
                <w:lang w:val="en-US" w:eastAsia="zh-CN"/>
              </w:rPr>
              <w:t>未改变；</w:t>
            </w:r>
          </w:p>
        </w:tc>
        <w:tc>
          <w:tcPr>
            <w:tcW w:w="1805" w:type="dxa"/>
            <w:noWrap w:val="0"/>
            <w:vAlign w:val="center"/>
          </w:tcPr>
          <w:p w14:paraId="63EB3A14">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r w14:paraId="35F65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1" w:type="dxa"/>
            <w:noWrap w:val="0"/>
            <w:vAlign w:val="center"/>
          </w:tcPr>
          <w:p w14:paraId="43666407">
            <w:pPr>
              <w:pStyle w:val="23"/>
              <w:keepNext w:val="0"/>
              <w:keepLines w:val="0"/>
              <w:suppressLineNumbers w:val="0"/>
              <w:bidi w:val="0"/>
              <w:spacing w:before="0" w:beforeAutospacing="0" w:after="0" w:afterAutospacing="0"/>
              <w:ind w:left="0" w:right="0"/>
              <w:jc w:val="both"/>
              <w:rPr>
                <w:rFonts w:hint="default"/>
                <w:lang w:val="en-US" w:eastAsia="zh-CN"/>
              </w:rPr>
            </w:pPr>
            <w:r>
              <w:rPr>
                <w:rFonts w:hint="eastAsia"/>
                <w:lang w:val="en-US" w:eastAsia="zh-CN"/>
              </w:rPr>
              <w:t>11</w:t>
            </w:r>
          </w:p>
        </w:tc>
        <w:tc>
          <w:tcPr>
            <w:tcW w:w="4147" w:type="dxa"/>
            <w:noWrap w:val="0"/>
            <w:vAlign w:val="center"/>
          </w:tcPr>
          <w:p w14:paraId="7ED87282">
            <w:pPr>
              <w:pStyle w:val="23"/>
              <w:keepNext w:val="0"/>
              <w:keepLines w:val="0"/>
              <w:suppressLineNumbers w:val="0"/>
              <w:bidi w:val="0"/>
              <w:spacing w:before="0" w:beforeAutospacing="0" w:after="0" w:afterAutospacing="0"/>
              <w:ind w:left="0" w:right="0"/>
              <w:jc w:val="both"/>
              <w:rPr>
                <w:rFonts w:hint="eastAsia" w:eastAsia="宋体"/>
                <w:lang w:eastAsia="zh-CN"/>
              </w:rPr>
            </w:pPr>
            <w:r>
              <w:rPr>
                <w:rFonts w:hint="eastAsia"/>
              </w:rPr>
              <w:t>事故废水暂存能力或拦截设施变化，导致环境风险防范能力弱化或降低的</w:t>
            </w:r>
            <w:r>
              <w:rPr>
                <w:rFonts w:hint="eastAsia"/>
                <w:lang w:eastAsia="zh-CN"/>
              </w:rPr>
              <w:t>；</w:t>
            </w:r>
          </w:p>
        </w:tc>
        <w:tc>
          <w:tcPr>
            <w:tcW w:w="2129" w:type="dxa"/>
            <w:noWrap w:val="0"/>
            <w:vAlign w:val="center"/>
          </w:tcPr>
          <w:p w14:paraId="66135E18">
            <w:pPr>
              <w:pStyle w:val="23"/>
              <w:keepNext w:val="0"/>
              <w:keepLines w:val="0"/>
              <w:suppressLineNumbers w:val="0"/>
              <w:bidi w:val="0"/>
              <w:spacing w:before="0" w:beforeAutospacing="0" w:after="0" w:afterAutospacing="0"/>
              <w:ind w:left="0" w:right="0"/>
              <w:jc w:val="both"/>
              <w:rPr>
                <w:rFonts w:hint="eastAsia" w:eastAsia="宋体"/>
                <w:lang w:val="en-US" w:eastAsia="zh-CN"/>
              </w:rPr>
            </w:pPr>
            <w:r>
              <w:rPr>
                <w:rFonts w:hint="eastAsia"/>
                <w:lang w:val="en-US" w:eastAsia="zh-CN"/>
              </w:rPr>
              <w:t>本项目</w:t>
            </w:r>
            <w:r>
              <w:rPr>
                <w:rFonts w:hint="eastAsia"/>
              </w:rPr>
              <w:t>事故废水暂存能力或拦截设施</w:t>
            </w:r>
            <w:r>
              <w:rPr>
                <w:rFonts w:hint="eastAsia"/>
                <w:lang w:val="en-US" w:eastAsia="zh-CN"/>
              </w:rPr>
              <w:t>改变；</w:t>
            </w:r>
          </w:p>
        </w:tc>
        <w:tc>
          <w:tcPr>
            <w:tcW w:w="1805" w:type="dxa"/>
            <w:noWrap w:val="0"/>
            <w:vAlign w:val="center"/>
          </w:tcPr>
          <w:p w14:paraId="0A1F23E4">
            <w:pPr>
              <w:pStyle w:val="23"/>
              <w:keepNext w:val="0"/>
              <w:keepLines w:val="0"/>
              <w:suppressLineNumbers w:val="0"/>
              <w:bidi w:val="0"/>
              <w:spacing w:before="0" w:beforeAutospacing="0" w:after="0" w:afterAutospacing="0"/>
              <w:ind w:left="0" w:right="0"/>
              <w:jc w:val="both"/>
              <w:rPr>
                <w:rFonts w:hint="eastAsia"/>
                <w:lang w:eastAsia="zh-CN"/>
              </w:rPr>
            </w:pPr>
            <w:r>
              <w:rPr>
                <w:rFonts w:hint="eastAsia"/>
                <w:lang w:val="en-US" w:eastAsia="zh-CN"/>
              </w:rPr>
              <w:t>与环评一致，未</w:t>
            </w:r>
            <w:r>
              <w:rPr>
                <w:rFonts w:hint="eastAsia"/>
                <w:lang w:eastAsia="zh-CN"/>
              </w:rPr>
              <w:t>发生重大变动</w:t>
            </w:r>
          </w:p>
        </w:tc>
      </w:tr>
    </w:tbl>
    <w:p w14:paraId="30ACA84A">
      <w:pPr>
        <w:ind w:left="0" w:leftChars="0" w:firstLine="0" w:firstLineChars="0"/>
        <w:rPr>
          <w:rFonts w:hint="eastAsia"/>
          <w:lang w:eastAsia="zh-CN"/>
        </w:rPr>
      </w:pPr>
    </w:p>
    <w:p w14:paraId="4C4C82EC">
      <w:pPr>
        <w:pStyle w:val="2"/>
        <w:rPr>
          <w:rFonts w:hint="eastAsia"/>
          <w:lang w:eastAsia="zh-CN"/>
        </w:rPr>
      </w:pPr>
    </w:p>
    <w:p w14:paraId="696D821B">
      <w:pPr>
        <w:rPr>
          <w:rFonts w:hint="eastAsia"/>
          <w:lang w:eastAsia="zh-CN"/>
        </w:rPr>
      </w:pPr>
    </w:p>
    <w:p w14:paraId="773FD8CC">
      <w:pPr>
        <w:pStyle w:val="2"/>
        <w:rPr>
          <w:rFonts w:hint="eastAsia"/>
          <w:lang w:eastAsia="zh-CN"/>
        </w:rPr>
      </w:pPr>
    </w:p>
    <w:p w14:paraId="59624CEF">
      <w:pPr>
        <w:rPr>
          <w:rFonts w:hint="eastAsia"/>
          <w:lang w:eastAsia="zh-CN"/>
        </w:rPr>
      </w:pPr>
    </w:p>
    <w:p w14:paraId="6FB8D377">
      <w:pPr>
        <w:pStyle w:val="2"/>
        <w:rPr>
          <w:rFonts w:hint="eastAsia"/>
          <w:lang w:eastAsia="zh-CN"/>
        </w:rPr>
      </w:pPr>
    </w:p>
    <w:p w14:paraId="4298BAC4">
      <w:pPr>
        <w:rPr>
          <w:rFonts w:hint="eastAsia"/>
          <w:lang w:eastAsia="zh-CN"/>
        </w:rPr>
      </w:pPr>
    </w:p>
    <w:p w14:paraId="3B8E0312">
      <w:pPr>
        <w:pStyle w:val="2"/>
        <w:rPr>
          <w:rFonts w:hint="eastAsia"/>
          <w:lang w:eastAsia="zh-CN"/>
        </w:rPr>
      </w:pPr>
    </w:p>
    <w:p w14:paraId="7A7BE3E0">
      <w:pPr>
        <w:rPr>
          <w:rFonts w:hint="eastAsia"/>
          <w:lang w:val="en-US" w:eastAsia="zh-CN"/>
        </w:rPr>
      </w:pPr>
    </w:p>
    <w:p w14:paraId="0A0101F3">
      <w:pPr>
        <w:pStyle w:val="22"/>
        <w:bidi w:val="0"/>
        <w:rPr>
          <w:rFonts w:hint="eastAsia"/>
          <w:lang w:val="en-US" w:eastAsia="zh-CN"/>
        </w:rPr>
        <w:sectPr>
          <w:pgSz w:w="11906" w:h="16838"/>
          <w:pgMar w:top="1440" w:right="1800" w:bottom="1440" w:left="1800" w:header="851" w:footer="992" w:gutter="0"/>
          <w:pgNumType w:fmt="decimal"/>
          <w:cols w:space="720" w:num="1"/>
          <w:docGrid w:type="lines" w:linePitch="312" w:charSpace="0"/>
        </w:sectPr>
      </w:pPr>
    </w:p>
    <w:p w14:paraId="6EDBF1C8">
      <w:pPr>
        <w:pStyle w:val="6"/>
        <w:bidi w:val="0"/>
        <w:rPr>
          <w:rFonts w:hint="eastAsia" w:ascii="Times New Roman" w:hAnsi="Times New Roman"/>
          <w:lang w:val="en-US" w:eastAsia="zh-CN"/>
        </w:rPr>
      </w:pPr>
      <w:r>
        <w:rPr>
          <w:rFonts w:hint="eastAsia" w:ascii="Times New Roman" w:hAnsi="Times New Roman"/>
          <w:lang w:val="en-US" w:eastAsia="zh-CN"/>
        </w:rPr>
        <w:t>2评价要素</w:t>
      </w:r>
    </w:p>
    <w:p w14:paraId="7C67AE57">
      <w:pPr>
        <w:rPr>
          <w:rFonts w:hint="eastAsia" w:ascii="Times New Roman" w:hAnsi="Times New Roman"/>
          <w:lang w:val="en-US" w:eastAsia="zh-CN"/>
        </w:rPr>
      </w:pPr>
      <w:r>
        <w:rPr>
          <w:rFonts w:hint="eastAsia" w:ascii="Times New Roman" w:hAnsi="Times New Roman"/>
          <w:lang w:val="en-US" w:eastAsia="zh-CN"/>
        </w:rPr>
        <w:t>根据生态环境部发布的《关于印发〈建设项目环境影响报告表〉内容、格式及编制技术指南的通知》要求，建设项目环境影响评价报告表取消了评价等级判定等程序，因此，本项目评价要素变化情况如下：</w:t>
      </w:r>
    </w:p>
    <w:p w14:paraId="44A970B9">
      <w:pPr>
        <w:pStyle w:val="22"/>
        <w:bidi w:val="0"/>
        <w:rPr>
          <w:rFonts w:hint="eastAsia"/>
          <w:lang w:val="en-US" w:eastAsia="zh-CN"/>
        </w:rPr>
      </w:pPr>
      <w:r>
        <w:rPr>
          <w:rFonts w:hint="eastAsia"/>
          <w:lang w:val="en-US" w:eastAsia="zh-CN"/>
        </w:rPr>
        <w:t>表2-1 评价要素变化情况一览表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4377"/>
        <w:gridCol w:w="2986"/>
        <w:gridCol w:w="707"/>
      </w:tblGrid>
      <w:tr w14:paraId="5C07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2" w:type="dxa"/>
            <w:noWrap w:val="0"/>
            <w:vAlign w:val="center"/>
          </w:tcPr>
          <w:p w14:paraId="4D684834">
            <w:pPr>
              <w:pStyle w:val="23"/>
              <w:bidi w:val="0"/>
              <w:jc w:val="center"/>
              <w:rPr>
                <w:rFonts w:hint="default"/>
                <w:lang w:val="en-US" w:eastAsia="zh-CN"/>
              </w:rPr>
            </w:pPr>
            <w:r>
              <w:rPr>
                <w:rFonts w:hint="eastAsia"/>
                <w:lang w:val="en-US" w:eastAsia="zh-CN"/>
              </w:rPr>
              <w:t>项目</w:t>
            </w:r>
          </w:p>
        </w:tc>
        <w:tc>
          <w:tcPr>
            <w:tcW w:w="4377" w:type="dxa"/>
            <w:noWrap w:val="0"/>
            <w:vAlign w:val="center"/>
          </w:tcPr>
          <w:p w14:paraId="1F759516">
            <w:pPr>
              <w:pStyle w:val="23"/>
              <w:bidi w:val="0"/>
              <w:jc w:val="center"/>
              <w:rPr>
                <w:rFonts w:hint="default"/>
                <w:lang w:val="en-US" w:eastAsia="zh-CN"/>
              </w:rPr>
            </w:pPr>
            <w:r>
              <w:rPr>
                <w:rFonts w:hint="eastAsia"/>
              </w:rPr>
              <w:t>原环评内容</w:t>
            </w:r>
          </w:p>
        </w:tc>
        <w:tc>
          <w:tcPr>
            <w:tcW w:w="2986" w:type="dxa"/>
            <w:noWrap w:val="0"/>
            <w:vAlign w:val="center"/>
          </w:tcPr>
          <w:p w14:paraId="575A3394">
            <w:pPr>
              <w:pStyle w:val="23"/>
              <w:bidi w:val="0"/>
              <w:jc w:val="center"/>
              <w:rPr>
                <w:rFonts w:hint="default"/>
                <w:lang w:val="en-US" w:eastAsia="zh-CN"/>
              </w:rPr>
            </w:pPr>
            <w:r>
              <w:rPr>
                <w:rFonts w:hint="eastAsia"/>
              </w:rPr>
              <w:t>实际建设内容</w:t>
            </w:r>
          </w:p>
        </w:tc>
        <w:tc>
          <w:tcPr>
            <w:tcW w:w="707" w:type="dxa"/>
            <w:noWrap w:val="0"/>
            <w:vAlign w:val="center"/>
          </w:tcPr>
          <w:p w14:paraId="372851EF">
            <w:pPr>
              <w:pStyle w:val="23"/>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lang w:val="en-US" w:eastAsia="zh-CN"/>
              </w:rPr>
            </w:pPr>
            <w:r>
              <w:rPr>
                <w:rFonts w:hint="eastAsia"/>
                <w:lang w:val="en-US" w:eastAsia="zh-CN"/>
              </w:rPr>
              <w:t>是否变化</w:t>
            </w:r>
          </w:p>
        </w:tc>
      </w:tr>
      <w:tr w14:paraId="3CD3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dxa"/>
            <w:noWrap w:val="0"/>
            <w:vAlign w:val="center"/>
          </w:tcPr>
          <w:p w14:paraId="5A1D7FAC">
            <w:pPr>
              <w:pStyle w:val="23"/>
              <w:bidi w:val="0"/>
              <w:jc w:val="center"/>
              <w:rPr>
                <w:rFonts w:hint="default"/>
                <w:lang w:val="en-US" w:eastAsia="zh-CN"/>
              </w:rPr>
            </w:pPr>
            <w:r>
              <w:rPr>
                <w:rFonts w:hint="eastAsia"/>
                <w:lang w:val="en-US" w:eastAsia="zh-CN"/>
              </w:rPr>
              <w:t>评价范围</w:t>
            </w:r>
          </w:p>
        </w:tc>
        <w:tc>
          <w:tcPr>
            <w:tcW w:w="4377" w:type="dxa"/>
            <w:noWrap w:val="0"/>
            <w:vAlign w:val="center"/>
          </w:tcPr>
          <w:p w14:paraId="25978F48">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rPr>
                <w:rFonts w:hint="eastAsia"/>
              </w:rPr>
              <w:t>（1）大气</w:t>
            </w:r>
            <w:r>
              <w:t>评价范围为厂界</w:t>
            </w:r>
            <w:r>
              <w:rPr>
                <w:rFonts w:hint="eastAsia"/>
                <w:lang w:eastAsia="zh-CN"/>
              </w:rPr>
              <w:t>外</w:t>
            </w:r>
            <w:r>
              <w:t>5</w:t>
            </w:r>
            <w:r>
              <w:rPr>
                <w:rFonts w:hint="eastAsia"/>
                <w:lang w:val="en-US" w:eastAsia="zh-CN"/>
              </w:rPr>
              <w:t>00</w:t>
            </w:r>
            <w:r>
              <w:t>m的</w:t>
            </w:r>
            <w:r>
              <w:rPr>
                <w:rFonts w:hint="eastAsia"/>
                <w:lang w:eastAsia="zh-CN"/>
              </w:rPr>
              <w:t>范围内；</w:t>
            </w:r>
          </w:p>
          <w:p w14:paraId="76DD7BB2">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t>（2）</w:t>
            </w:r>
            <w:r>
              <w:rPr>
                <w:rFonts w:hint="eastAsia"/>
                <w:lang w:eastAsia="zh-CN"/>
              </w:rPr>
              <w:t>本项目废水间接排放，可不设置评价范围</w:t>
            </w:r>
            <w:r>
              <w:t>。</w:t>
            </w:r>
          </w:p>
          <w:p w14:paraId="26E88CE6">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t>（</w:t>
            </w:r>
            <w:r>
              <w:rPr>
                <w:rFonts w:hint="eastAsia"/>
                <w:lang w:val="en-US" w:eastAsia="zh-CN"/>
              </w:rPr>
              <w:t>3</w:t>
            </w:r>
            <w:r>
              <w:t>）声环境评价范围为厂界外</w:t>
            </w:r>
            <w:r>
              <w:rPr>
                <w:rFonts w:hint="eastAsia"/>
                <w:lang w:val="en-US" w:eastAsia="zh-CN"/>
              </w:rPr>
              <w:t>5</w:t>
            </w:r>
            <w:r>
              <w:t>0m区域。</w:t>
            </w:r>
          </w:p>
          <w:p w14:paraId="36E8526D">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t>（</w:t>
            </w:r>
            <w:r>
              <w:rPr>
                <w:rFonts w:hint="eastAsia"/>
                <w:lang w:val="en-US" w:eastAsia="zh-CN"/>
              </w:rPr>
              <w:t>4</w:t>
            </w:r>
            <w:r>
              <w:t>）</w:t>
            </w:r>
            <w:r>
              <w:rPr>
                <w:rFonts w:hint="eastAsia"/>
                <w:lang w:eastAsia="zh-CN"/>
              </w:rPr>
              <w:t>地下水评价范围为</w:t>
            </w:r>
            <w:r>
              <w:t>厂界</w:t>
            </w:r>
            <w:r>
              <w:rPr>
                <w:rFonts w:hint="eastAsia"/>
                <w:lang w:eastAsia="zh-CN"/>
              </w:rPr>
              <w:t>外</w:t>
            </w:r>
            <w:r>
              <w:t>5</w:t>
            </w:r>
            <w:r>
              <w:rPr>
                <w:rFonts w:hint="eastAsia"/>
                <w:lang w:val="en-US" w:eastAsia="zh-CN"/>
              </w:rPr>
              <w:t>00</w:t>
            </w:r>
            <w:r>
              <w:t>m的</w:t>
            </w:r>
            <w:r>
              <w:rPr>
                <w:rFonts w:hint="eastAsia"/>
                <w:lang w:eastAsia="zh-CN"/>
              </w:rPr>
              <w:t>范围内；</w:t>
            </w:r>
          </w:p>
        </w:tc>
        <w:tc>
          <w:tcPr>
            <w:tcW w:w="2986" w:type="dxa"/>
            <w:noWrap w:val="0"/>
            <w:vAlign w:val="center"/>
          </w:tcPr>
          <w:p w14:paraId="59ADC36C">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rPr>
                <w:rFonts w:hint="eastAsia"/>
              </w:rPr>
              <w:t>（1）大气</w:t>
            </w:r>
            <w:r>
              <w:t>评价范围为厂界</w:t>
            </w:r>
            <w:r>
              <w:rPr>
                <w:rFonts w:hint="eastAsia"/>
                <w:lang w:eastAsia="zh-CN"/>
              </w:rPr>
              <w:t>外</w:t>
            </w:r>
            <w:r>
              <w:t>5</w:t>
            </w:r>
            <w:r>
              <w:rPr>
                <w:rFonts w:hint="eastAsia"/>
                <w:lang w:val="en-US" w:eastAsia="zh-CN"/>
              </w:rPr>
              <w:t>00</w:t>
            </w:r>
            <w:r>
              <w:t>m的</w:t>
            </w:r>
            <w:r>
              <w:rPr>
                <w:rFonts w:hint="eastAsia"/>
                <w:lang w:eastAsia="zh-CN"/>
              </w:rPr>
              <w:t>范围内；</w:t>
            </w:r>
          </w:p>
          <w:p w14:paraId="009DDE3A">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t>（2）</w:t>
            </w:r>
            <w:r>
              <w:rPr>
                <w:rFonts w:hint="eastAsia"/>
                <w:lang w:eastAsia="zh-CN"/>
              </w:rPr>
              <w:t>本项目废水间接排放，可不设置评价范围</w:t>
            </w:r>
            <w:r>
              <w:t>。</w:t>
            </w:r>
          </w:p>
          <w:p w14:paraId="0D1F8704">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pPr>
            <w:r>
              <w:t>（</w:t>
            </w:r>
            <w:r>
              <w:rPr>
                <w:rFonts w:hint="eastAsia"/>
                <w:lang w:val="en-US" w:eastAsia="zh-CN"/>
              </w:rPr>
              <w:t>3</w:t>
            </w:r>
            <w:r>
              <w:t>）声环境评价范围为厂界外</w:t>
            </w:r>
            <w:r>
              <w:rPr>
                <w:rFonts w:hint="eastAsia"/>
                <w:lang w:val="en-US" w:eastAsia="zh-CN"/>
              </w:rPr>
              <w:t>5</w:t>
            </w:r>
            <w:r>
              <w:t>0m区域。</w:t>
            </w:r>
          </w:p>
          <w:p w14:paraId="037CB392">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t>（</w:t>
            </w:r>
            <w:r>
              <w:rPr>
                <w:rFonts w:hint="eastAsia"/>
                <w:lang w:val="en-US" w:eastAsia="zh-CN"/>
              </w:rPr>
              <w:t>4</w:t>
            </w:r>
            <w:r>
              <w:t>）</w:t>
            </w:r>
            <w:r>
              <w:rPr>
                <w:rFonts w:hint="eastAsia"/>
                <w:lang w:eastAsia="zh-CN"/>
              </w:rPr>
              <w:t>地下水评价范围为</w:t>
            </w:r>
            <w:r>
              <w:t>厂界</w:t>
            </w:r>
            <w:r>
              <w:rPr>
                <w:rFonts w:hint="eastAsia"/>
                <w:lang w:eastAsia="zh-CN"/>
              </w:rPr>
              <w:t>外</w:t>
            </w:r>
            <w:r>
              <w:t>5</w:t>
            </w:r>
            <w:r>
              <w:rPr>
                <w:rFonts w:hint="eastAsia"/>
                <w:lang w:val="en-US" w:eastAsia="zh-CN"/>
              </w:rPr>
              <w:t>00</w:t>
            </w:r>
            <w:r>
              <w:t>m的</w:t>
            </w:r>
            <w:r>
              <w:rPr>
                <w:rFonts w:hint="eastAsia"/>
                <w:lang w:eastAsia="zh-CN"/>
              </w:rPr>
              <w:t>范围内；</w:t>
            </w:r>
          </w:p>
        </w:tc>
        <w:tc>
          <w:tcPr>
            <w:tcW w:w="707" w:type="dxa"/>
            <w:noWrap w:val="0"/>
            <w:vAlign w:val="center"/>
          </w:tcPr>
          <w:p w14:paraId="2A41E31D">
            <w:pPr>
              <w:pStyle w:val="23"/>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lang w:val="en-US" w:eastAsia="zh-CN"/>
              </w:rPr>
            </w:pPr>
            <w:r>
              <w:rPr>
                <w:rFonts w:hint="eastAsia"/>
                <w:lang w:val="en-US" w:eastAsia="zh-CN"/>
              </w:rPr>
              <w:t>否</w:t>
            </w:r>
          </w:p>
        </w:tc>
      </w:tr>
      <w:tr w14:paraId="6A2A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 w:type="dxa"/>
            <w:noWrap w:val="0"/>
            <w:vAlign w:val="center"/>
          </w:tcPr>
          <w:p w14:paraId="19F7278C">
            <w:pPr>
              <w:pStyle w:val="23"/>
              <w:bidi w:val="0"/>
              <w:jc w:val="center"/>
              <w:rPr>
                <w:rFonts w:hint="default"/>
                <w:lang w:val="en-US" w:eastAsia="zh-CN"/>
              </w:rPr>
            </w:pPr>
            <w:r>
              <w:rPr>
                <w:rFonts w:hint="eastAsia"/>
                <w:lang w:val="en-US" w:eastAsia="zh-CN"/>
              </w:rPr>
              <w:t>评价标准</w:t>
            </w:r>
          </w:p>
        </w:tc>
        <w:tc>
          <w:tcPr>
            <w:tcW w:w="4377" w:type="dxa"/>
            <w:noWrap w:val="0"/>
            <w:vAlign w:val="center"/>
          </w:tcPr>
          <w:p w14:paraId="205E38AC">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熔炉燃烧产生的颗粒物、二氧化硫、氮氧化物；熔化、压铸产生的颗粒物，打磨、喷粉产生的颗粒物；脱模产生的有机废气有组织排放均执行《铸造工业大气污染物排放标准》（GB39726-2020）表1中的排放限值。</w:t>
            </w:r>
          </w:p>
          <w:p w14:paraId="23FED37A">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固化炉天然气燃烧废气从严执行《锅炉大气污染物排放标准》（GB13271-2014）表3中限值，其中氮氧化物参照《安徽省2020年大气污染防治重点工作任务》执行。</w:t>
            </w:r>
          </w:p>
          <w:p w14:paraId="78E4B2F4">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厂区内无组织废气排放执行《铸造工业大气污染物排放标准》（GB39726-2020）中表A.1排放浓度限值，厂界无组织废气排放参照执行《大气污染物综合排放标准》（GB16297-1996）表2中无组织排放浓度限值。</w:t>
            </w:r>
          </w:p>
          <w:p w14:paraId="5795D9D0">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厂界颗粒物无组织排放执行《大气污染物综合排放标准》（GB16297-1996）表2中无组织排放监控浓度限值要求。</w:t>
            </w:r>
          </w:p>
          <w:p w14:paraId="5FDBE8FD">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t>项目</w:t>
            </w:r>
            <w:r>
              <w:rPr>
                <w:rFonts w:hint="eastAsia"/>
                <w:lang w:val="en-US" w:eastAsia="zh-CN"/>
              </w:rPr>
              <w:t>生活废水</w:t>
            </w:r>
            <w:r>
              <w:t>经化粪池处理后</w:t>
            </w:r>
            <w:r>
              <w:rPr>
                <w:rFonts w:hint="eastAsia"/>
                <w:lang w:val="en-US" w:eastAsia="zh-CN"/>
              </w:rPr>
              <w:t>与冷却循环水排水一同</w:t>
            </w:r>
            <w:r>
              <w:t>执行江南产业集中区第一污水处理厂接管标准，再由江南产业集中区第一污水处理厂进行深度处理，经污水处理厂处理达到《城镇污水处理厂污染物排放标准》（GB 18918-2002）中一级A标准后经九华河排入长江。</w:t>
            </w:r>
          </w:p>
          <w:p w14:paraId="5A94F251">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t>项目营运期项目厂界噪声排放执行《工业企业厂界环境噪声排放标准》（GB12348-2008）中的3类标准要求。</w:t>
            </w:r>
          </w:p>
        </w:tc>
        <w:tc>
          <w:tcPr>
            <w:tcW w:w="2986" w:type="dxa"/>
            <w:noWrap w:val="0"/>
            <w:vAlign w:val="center"/>
          </w:tcPr>
          <w:p w14:paraId="4F395087">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项目压铸工艺中生产的废气主要包括熔炉燃烧天然气产生的废气（SO</w:t>
            </w:r>
            <w:r>
              <w:rPr>
                <w:rFonts w:hint="default"/>
                <w:vertAlign w:val="subscript"/>
                <w:lang w:val="en-US" w:eastAsia="zh-CN"/>
              </w:rPr>
              <w:t>2</w:t>
            </w:r>
            <w:r>
              <w:rPr>
                <w:rFonts w:hint="default"/>
                <w:lang w:val="en-US" w:eastAsia="zh-CN"/>
              </w:rPr>
              <w:t>、颗粒物和NO</w:t>
            </w:r>
            <w:r>
              <w:rPr>
                <w:rFonts w:hint="default"/>
                <w:vertAlign w:val="subscript"/>
                <w:lang w:val="en-US" w:eastAsia="zh-CN"/>
              </w:rPr>
              <w:t>X</w:t>
            </w:r>
            <w:r>
              <w:rPr>
                <w:rFonts w:hint="default"/>
                <w:lang w:val="en-US" w:eastAsia="zh-CN"/>
              </w:rPr>
              <w:t>）、熔化烟尘、压铸废气（颗粒物）、脱模废气（非甲烷总烃）、打磨产生的废气（颗粒物），均执行《铸造工业大气污染物排放标准》（GB39726-2020）表1中的排放限值。厂区内无组织废气排放执行《铸造工业大气污染物排放标准》（GB39726-2020）中表A.1排放浓度限值，厂界无组织废气排放参照执行《大气污染物综合排放标准》(DB31/933-2015)中表3大气污染物无组织排放限值。</w:t>
            </w:r>
          </w:p>
          <w:p w14:paraId="7298502E">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项目生活废水经化粪池处理后与冷却循环水排水一同执行江南产业集中区第一污水处理厂接管标准，再由江南产业集中区第一污水处理厂进行深度处理，经污水处理厂处理达到《城镇污水处理厂污染物排放标准》（GB 18918-2002）中一级A标准后经九华河排入长江。</w:t>
            </w:r>
          </w:p>
          <w:p w14:paraId="1B7E1334">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营运期项目厂界噪声排放执行《工业企业厂界环境噪声排放标准》（GB12348-2008）中的3类标准要求</w:t>
            </w:r>
            <w:r>
              <w:rPr>
                <w:rFonts w:hint="eastAsia"/>
                <w:lang w:val="en-US" w:eastAsia="zh-CN"/>
              </w:rPr>
              <w:t>。</w:t>
            </w:r>
          </w:p>
        </w:tc>
        <w:tc>
          <w:tcPr>
            <w:tcW w:w="707" w:type="dxa"/>
            <w:noWrap w:val="0"/>
            <w:vAlign w:val="center"/>
          </w:tcPr>
          <w:p w14:paraId="47BAA395">
            <w:pPr>
              <w:pStyle w:val="23"/>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lang w:val="en-US" w:eastAsia="zh-CN"/>
              </w:rPr>
            </w:pPr>
            <w:r>
              <w:rPr>
                <w:rFonts w:hint="eastAsia"/>
                <w:lang w:val="en-US" w:eastAsia="zh-CN"/>
              </w:rPr>
              <w:t>否</w:t>
            </w:r>
          </w:p>
        </w:tc>
      </w:tr>
    </w:tbl>
    <w:p w14:paraId="08161E97">
      <w:pPr>
        <w:pStyle w:val="6"/>
        <w:bidi w:val="0"/>
        <w:rPr>
          <w:rFonts w:hint="eastAsia"/>
          <w:lang w:val="en-US" w:eastAsia="zh-CN"/>
        </w:rPr>
      </w:pPr>
      <w:r>
        <w:rPr>
          <w:rFonts w:hint="eastAsia"/>
          <w:lang w:val="en-US" w:eastAsia="zh-CN"/>
        </w:rPr>
        <w:t>3环境影响分析说明</w:t>
      </w:r>
    </w:p>
    <w:p w14:paraId="4D008373">
      <w:pPr>
        <w:pStyle w:val="7"/>
        <w:bidi w:val="0"/>
        <w:rPr>
          <w:rFonts w:hint="eastAsia"/>
          <w:lang w:val="en-US" w:eastAsia="zh-CN"/>
        </w:rPr>
      </w:pPr>
      <w:r>
        <w:rPr>
          <w:rFonts w:hint="eastAsia"/>
          <w:lang w:val="en-US" w:eastAsia="zh-CN"/>
        </w:rPr>
        <w:t>3.1污染物变动情况</w:t>
      </w:r>
    </w:p>
    <w:p w14:paraId="5B9085AF">
      <w:pPr>
        <w:rPr>
          <w:rFonts w:hint="eastAsia"/>
          <w:lang w:val="en-US" w:eastAsia="zh-CN"/>
        </w:rPr>
      </w:pPr>
      <w:r>
        <w:rPr>
          <w:rFonts w:hint="default"/>
          <w:lang w:val="en-US" w:eastAsia="zh-CN"/>
        </w:rPr>
        <w:t>本项目的主要污染源如下</w:t>
      </w:r>
      <w:r>
        <w:rPr>
          <w:rFonts w:hint="eastAsia"/>
          <w:lang w:val="en-US" w:eastAsia="zh-CN"/>
        </w:rPr>
        <w:t>：</w:t>
      </w:r>
    </w:p>
    <w:p w14:paraId="7A4EC2C0">
      <w:pPr>
        <w:pStyle w:val="22"/>
        <w:ind w:firstLine="482"/>
        <w:rPr>
          <w:sz w:val="21"/>
          <w:szCs w:val="21"/>
        </w:rPr>
      </w:pPr>
      <w:r>
        <w:rPr>
          <w:sz w:val="21"/>
          <w:szCs w:val="21"/>
        </w:rPr>
        <w:t>表</w:t>
      </w:r>
      <w:r>
        <w:rPr>
          <w:rFonts w:hint="eastAsia"/>
          <w:sz w:val="21"/>
          <w:szCs w:val="21"/>
        </w:rPr>
        <w:t>2.2-1</w:t>
      </w:r>
      <w:r>
        <w:rPr>
          <w:sz w:val="21"/>
          <w:szCs w:val="21"/>
        </w:rPr>
        <w:t xml:space="preserve"> 项目主要污染工序及污染因子汇总表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736"/>
        <w:gridCol w:w="2381"/>
        <w:gridCol w:w="2412"/>
        <w:gridCol w:w="2541"/>
      </w:tblGrid>
      <w:tr w14:paraId="2793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96196F">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污染类别</w:t>
            </w:r>
          </w:p>
        </w:tc>
        <w:tc>
          <w:tcPr>
            <w:tcW w:w="2381" w:type="dxa"/>
            <w:tcBorders>
              <w:top w:val="single" w:color="auto" w:sz="4" w:space="0"/>
              <w:left w:val="nil"/>
              <w:bottom w:val="single" w:color="auto" w:sz="4" w:space="0"/>
              <w:right w:val="single" w:color="auto" w:sz="4" w:space="0"/>
            </w:tcBorders>
            <w:shd w:val="clear" w:color="auto" w:fill="auto"/>
            <w:vAlign w:val="center"/>
          </w:tcPr>
          <w:p w14:paraId="7AF480B8">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污染源名称</w:t>
            </w:r>
          </w:p>
        </w:tc>
        <w:tc>
          <w:tcPr>
            <w:tcW w:w="2412" w:type="dxa"/>
            <w:tcBorders>
              <w:top w:val="single" w:color="auto" w:sz="4" w:space="0"/>
              <w:left w:val="nil"/>
              <w:bottom w:val="single" w:color="auto" w:sz="4" w:space="0"/>
              <w:right w:val="single" w:color="auto" w:sz="4" w:space="0"/>
            </w:tcBorders>
            <w:shd w:val="clear" w:color="auto" w:fill="auto"/>
            <w:vAlign w:val="center"/>
          </w:tcPr>
          <w:p w14:paraId="0F558202">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产生工序</w:t>
            </w:r>
          </w:p>
        </w:tc>
        <w:tc>
          <w:tcPr>
            <w:tcW w:w="2541" w:type="dxa"/>
            <w:tcBorders>
              <w:top w:val="single" w:color="auto" w:sz="4" w:space="0"/>
              <w:left w:val="nil"/>
              <w:bottom w:val="single" w:color="auto" w:sz="4" w:space="0"/>
              <w:right w:val="single" w:color="auto" w:sz="4" w:space="0"/>
            </w:tcBorders>
            <w:shd w:val="clear" w:color="auto" w:fill="auto"/>
            <w:vAlign w:val="center"/>
          </w:tcPr>
          <w:p w14:paraId="19A684EB">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主要污染因子</w:t>
            </w:r>
          </w:p>
        </w:tc>
      </w:tr>
      <w:tr w14:paraId="4B65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restart"/>
            <w:tcBorders>
              <w:top w:val="nil"/>
              <w:left w:val="single" w:color="auto" w:sz="4" w:space="0"/>
              <w:right w:val="single" w:color="auto" w:sz="4" w:space="0"/>
            </w:tcBorders>
            <w:shd w:val="clear" w:color="auto" w:fill="auto"/>
            <w:vAlign w:val="center"/>
          </w:tcPr>
          <w:p w14:paraId="2647B613">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营运期</w:t>
            </w:r>
          </w:p>
        </w:tc>
        <w:tc>
          <w:tcPr>
            <w:tcW w:w="736" w:type="dxa"/>
            <w:vMerge w:val="restart"/>
            <w:tcBorders>
              <w:top w:val="single" w:color="auto" w:sz="4" w:space="0"/>
              <w:left w:val="nil"/>
              <w:right w:val="single" w:color="auto" w:sz="4" w:space="0"/>
            </w:tcBorders>
            <w:shd w:val="clear" w:color="auto" w:fill="auto"/>
            <w:vAlign w:val="center"/>
          </w:tcPr>
          <w:p w14:paraId="2B0B86A6">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废水</w:t>
            </w:r>
          </w:p>
        </w:tc>
        <w:tc>
          <w:tcPr>
            <w:tcW w:w="2381" w:type="dxa"/>
            <w:tcBorders>
              <w:top w:val="single" w:color="auto" w:sz="4" w:space="0"/>
              <w:left w:val="nil"/>
              <w:bottom w:val="single" w:color="auto" w:sz="4" w:space="0"/>
              <w:right w:val="single" w:color="auto" w:sz="4" w:space="0"/>
            </w:tcBorders>
            <w:shd w:val="clear" w:color="auto" w:fill="auto"/>
            <w:vAlign w:val="center"/>
          </w:tcPr>
          <w:p w14:paraId="0E72FC01">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生活污水</w:t>
            </w:r>
          </w:p>
        </w:tc>
        <w:tc>
          <w:tcPr>
            <w:tcW w:w="2412" w:type="dxa"/>
            <w:tcBorders>
              <w:top w:val="single" w:color="auto" w:sz="4" w:space="0"/>
              <w:left w:val="nil"/>
              <w:bottom w:val="single" w:color="auto" w:sz="4" w:space="0"/>
              <w:right w:val="single" w:color="auto" w:sz="4" w:space="0"/>
            </w:tcBorders>
            <w:shd w:val="clear" w:color="auto" w:fill="auto"/>
            <w:vAlign w:val="center"/>
          </w:tcPr>
          <w:p w14:paraId="13F9D610">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职工生活</w:t>
            </w:r>
          </w:p>
        </w:tc>
        <w:tc>
          <w:tcPr>
            <w:tcW w:w="2541" w:type="dxa"/>
            <w:tcBorders>
              <w:top w:val="single" w:color="auto" w:sz="4" w:space="0"/>
              <w:left w:val="nil"/>
              <w:bottom w:val="single" w:color="auto" w:sz="4" w:space="0"/>
              <w:right w:val="single" w:color="auto" w:sz="4" w:space="0"/>
            </w:tcBorders>
            <w:shd w:val="clear" w:color="auto" w:fill="auto"/>
            <w:vAlign w:val="center"/>
          </w:tcPr>
          <w:p w14:paraId="1537FC96">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COD、氨氮</w:t>
            </w:r>
          </w:p>
        </w:tc>
      </w:tr>
      <w:tr w14:paraId="062E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46BF9CB1">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p>
        </w:tc>
        <w:tc>
          <w:tcPr>
            <w:tcW w:w="736" w:type="dxa"/>
            <w:vMerge w:val="continue"/>
            <w:tcBorders>
              <w:left w:val="nil"/>
              <w:bottom w:val="single" w:color="auto" w:sz="4" w:space="0"/>
              <w:right w:val="single" w:color="auto" w:sz="4" w:space="0"/>
            </w:tcBorders>
            <w:shd w:val="clear" w:color="auto" w:fill="auto"/>
            <w:vAlign w:val="center"/>
          </w:tcPr>
          <w:p w14:paraId="43C7A33B">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33DF2080">
            <w:pPr>
              <w:pStyle w:val="14"/>
              <w:widowControl w:val="0"/>
              <w:adjustRightInd w:val="0"/>
              <w:snapToGrid w:val="0"/>
              <w:spacing w:before="0" w:beforeAutospacing="0" w:after="0" w:afterAutospacing="0" w:line="240" w:lineRule="exact"/>
              <w:jc w:val="center"/>
              <w:rPr>
                <w:rFonts w:hint="default" w:ascii="Times New Roman" w:hAnsi="Times New Roman" w:eastAsia="宋体"/>
                <w:sz w:val="21"/>
                <w:szCs w:val="21"/>
                <w:lang w:val="en-US" w:eastAsia="zh-CN" w:bidi="ar"/>
              </w:rPr>
            </w:pPr>
            <w:r>
              <w:rPr>
                <w:rFonts w:hint="eastAsia" w:ascii="Times New Roman" w:hAnsi="Times New Roman"/>
                <w:sz w:val="21"/>
                <w:szCs w:val="21"/>
                <w:lang w:val="en-US" w:eastAsia="zh-CN" w:bidi="ar"/>
              </w:rPr>
              <w:t>循环系统排水</w:t>
            </w:r>
          </w:p>
        </w:tc>
        <w:tc>
          <w:tcPr>
            <w:tcW w:w="2412" w:type="dxa"/>
            <w:tcBorders>
              <w:top w:val="single" w:color="auto" w:sz="4" w:space="0"/>
              <w:left w:val="nil"/>
              <w:bottom w:val="single" w:color="auto" w:sz="4" w:space="0"/>
              <w:right w:val="single" w:color="auto" w:sz="4" w:space="0"/>
            </w:tcBorders>
            <w:shd w:val="clear" w:color="auto" w:fill="auto"/>
            <w:vAlign w:val="center"/>
          </w:tcPr>
          <w:p w14:paraId="189E14B0">
            <w:pPr>
              <w:pStyle w:val="14"/>
              <w:widowControl w:val="0"/>
              <w:adjustRightInd w:val="0"/>
              <w:snapToGrid w:val="0"/>
              <w:spacing w:before="0" w:beforeAutospacing="0" w:after="0" w:afterAutospacing="0" w:line="240" w:lineRule="exact"/>
              <w:jc w:val="center"/>
              <w:rPr>
                <w:rFonts w:hint="default" w:ascii="Times New Roman" w:hAnsi="Times New Roman" w:eastAsia="宋体"/>
                <w:sz w:val="21"/>
                <w:szCs w:val="21"/>
                <w:lang w:val="en-US" w:eastAsia="zh-CN" w:bidi="ar"/>
              </w:rPr>
            </w:pPr>
            <w:r>
              <w:rPr>
                <w:rFonts w:hint="eastAsia" w:ascii="Times New Roman" w:hAnsi="Times New Roman"/>
                <w:sz w:val="21"/>
                <w:szCs w:val="21"/>
                <w:lang w:val="en-US" w:eastAsia="zh-CN" w:bidi="ar"/>
              </w:rPr>
              <w:t>铸造冷却系统</w:t>
            </w:r>
          </w:p>
        </w:tc>
        <w:tc>
          <w:tcPr>
            <w:tcW w:w="2541" w:type="dxa"/>
            <w:tcBorders>
              <w:top w:val="single" w:color="auto" w:sz="4" w:space="0"/>
              <w:left w:val="nil"/>
              <w:bottom w:val="single" w:color="auto" w:sz="4" w:space="0"/>
              <w:right w:val="single" w:color="auto" w:sz="4" w:space="0"/>
            </w:tcBorders>
            <w:shd w:val="clear" w:color="auto" w:fill="auto"/>
            <w:vAlign w:val="center"/>
          </w:tcPr>
          <w:p w14:paraId="746933A3">
            <w:pPr>
              <w:pStyle w:val="14"/>
              <w:widowControl w:val="0"/>
              <w:adjustRightInd w:val="0"/>
              <w:snapToGrid w:val="0"/>
              <w:spacing w:before="0" w:beforeAutospacing="0" w:after="0" w:afterAutospacing="0" w:line="240" w:lineRule="exact"/>
              <w:jc w:val="center"/>
              <w:rPr>
                <w:rFonts w:hint="default" w:ascii="Times New Roman" w:hAnsi="Times New Roman" w:eastAsia="宋体"/>
                <w:sz w:val="21"/>
                <w:szCs w:val="21"/>
                <w:lang w:val="en-US" w:eastAsia="zh-CN" w:bidi="ar"/>
              </w:rPr>
            </w:pPr>
            <w:r>
              <w:rPr>
                <w:rFonts w:hint="eastAsia" w:ascii="Times New Roman" w:hAnsi="Times New Roman"/>
                <w:sz w:val="21"/>
                <w:szCs w:val="21"/>
                <w:lang w:val="en-US" w:eastAsia="zh-CN" w:bidi="ar"/>
              </w:rPr>
              <w:t>COD、SS</w:t>
            </w:r>
          </w:p>
        </w:tc>
      </w:tr>
      <w:tr w14:paraId="5FF0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16474428">
            <w:pPr>
              <w:spacing w:line="240" w:lineRule="exact"/>
              <w:ind w:firstLine="420"/>
              <w:rPr>
                <w:sz w:val="21"/>
                <w:szCs w:val="21"/>
              </w:rPr>
            </w:pPr>
          </w:p>
        </w:tc>
        <w:tc>
          <w:tcPr>
            <w:tcW w:w="736" w:type="dxa"/>
            <w:vMerge w:val="restart"/>
            <w:tcBorders>
              <w:top w:val="nil"/>
              <w:left w:val="nil"/>
              <w:right w:val="single" w:color="auto" w:sz="4" w:space="0"/>
            </w:tcBorders>
            <w:shd w:val="clear" w:color="auto" w:fill="auto"/>
            <w:vAlign w:val="center"/>
          </w:tcPr>
          <w:p w14:paraId="0BB06868">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废气</w:t>
            </w:r>
          </w:p>
        </w:tc>
        <w:tc>
          <w:tcPr>
            <w:tcW w:w="2381" w:type="dxa"/>
            <w:tcBorders>
              <w:top w:val="single" w:color="auto" w:sz="4" w:space="0"/>
              <w:left w:val="nil"/>
              <w:bottom w:val="single" w:color="auto" w:sz="4" w:space="0"/>
              <w:right w:val="single" w:color="auto" w:sz="4" w:space="0"/>
            </w:tcBorders>
            <w:shd w:val="clear" w:color="auto" w:fill="auto"/>
            <w:vAlign w:val="center"/>
          </w:tcPr>
          <w:p w14:paraId="7BC19D70">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熔化燃烧废气</w:t>
            </w:r>
          </w:p>
        </w:tc>
        <w:tc>
          <w:tcPr>
            <w:tcW w:w="2412" w:type="dxa"/>
            <w:tcBorders>
              <w:top w:val="single" w:color="auto" w:sz="4" w:space="0"/>
              <w:left w:val="nil"/>
              <w:bottom w:val="single" w:color="auto" w:sz="4" w:space="0"/>
              <w:right w:val="single" w:color="auto" w:sz="4" w:space="0"/>
            </w:tcBorders>
            <w:shd w:val="clear" w:color="auto" w:fill="auto"/>
            <w:vAlign w:val="center"/>
          </w:tcPr>
          <w:p w14:paraId="1F5007AD">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熔炉天然气燃烧</w:t>
            </w:r>
          </w:p>
        </w:tc>
        <w:tc>
          <w:tcPr>
            <w:tcW w:w="2541" w:type="dxa"/>
            <w:tcBorders>
              <w:top w:val="single" w:color="auto" w:sz="4" w:space="0"/>
              <w:left w:val="nil"/>
              <w:bottom w:val="single" w:color="auto" w:sz="4" w:space="0"/>
              <w:right w:val="single" w:color="auto" w:sz="4" w:space="0"/>
            </w:tcBorders>
            <w:shd w:val="clear" w:color="auto" w:fill="auto"/>
            <w:vAlign w:val="center"/>
          </w:tcPr>
          <w:p w14:paraId="2E670E39">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颗粒物、SO</w:t>
            </w:r>
            <w:r>
              <w:rPr>
                <w:rFonts w:ascii="Times New Roman" w:hAnsi="Times New Roman"/>
                <w:sz w:val="21"/>
                <w:szCs w:val="21"/>
                <w:vertAlign w:val="subscript"/>
                <w:lang w:bidi="ar"/>
              </w:rPr>
              <w:t>2</w:t>
            </w:r>
            <w:r>
              <w:rPr>
                <w:rFonts w:ascii="Times New Roman" w:hAnsi="Times New Roman"/>
                <w:sz w:val="21"/>
                <w:szCs w:val="21"/>
                <w:lang w:bidi="ar"/>
              </w:rPr>
              <w:t>、NO</w:t>
            </w:r>
            <w:r>
              <w:rPr>
                <w:rFonts w:ascii="Times New Roman" w:hAnsi="Times New Roman"/>
                <w:sz w:val="21"/>
                <w:szCs w:val="21"/>
                <w:vertAlign w:val="subscript"/>
                <w:lang w:bidi="ar"/>
              </w:rPr>
              <w:t>X</w:t>
            </w:r>
          </w:p>
        </w:tc>
      </w:tr>
      <w:tr w14:paraId="4E3A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46A69656">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6AF2993F">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355202B7">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熔化废气</w:t>
            </w:r>
          </w:p>
        </w:tc>
        <w:tc>
          <w:tcPr>
            <w:tcW w:w="2412" w:type="dxa"/>
            <w:tcBorders>
              <w:top w:val="single" w:color="auto" w:sz="4" w:space="0"/>
              <w:left w:val="nil"/>
              <w:bottom w:val="single" w:color="auto" w:sz="4" w:space="0"/>
              <w:right w:val="single" w:color="auto" w:sz="4" w:space="0"/>
            </w:tcBorders>
            <w:shd w:val="clear" w:color="auto" w:fill="auto"/>
            <w:vAlign w:val="center"/>
          </w:tcPr>
          <w:p w14:paraId="0051BB3A">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铝锭熔化</w:t>
            </w:r>
          </w:p>
        </w:tc>
        <w:tc>
          <w:tcPr>
            <w:tcW w:w="2541" w:type="dxa"/>
            <w:tcBorders>
              <w:top w:val="single" w:color="auto" w:sz="4" w:space="0"/>
              <w:left w:val="nil"/>
              <w:bottom w:val="single" w:color="auto" w:sz="4" w:space="0"/>
              <w:right w:val="single" w:color="auto" w:sz="4" w:space="0"/>
            </w:tcBorders>
            <w:shd w:val="clear" w:color="auto" w:fill="auto"/>
            <w:vAlign w:val="center"/>
          </w:tcPr>
          <w:p w14:paraId="5727BDFD">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颗粒物</w:t>
            </w:r>
          </w:p>
        </w:tc>
      </w:tr>
      <w:tr w14:paraId="2837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5C292FF4">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18CC04B0">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04F17B87">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压铸废气</w:t>
            </w:r>
          </w:p>
        </w:tc>
        <w:tc>
          <w:tcPr>
            <w:tcW w:w="2412" w:type="dxa"/>
            <w:tcBorders>
              <w:top w:val="single" w:color="auto" w:sz="4" w:space="0"/>
              <w:left w:val="nil"/>
              <w:bottom w:val="single" w:color="auto" w:sz="4" w:space="0"/>
              <w:right w:val="single" w:color="auto" w:sz="4" w:space="0"/>
            </w:tcBorders>
            <w:shd w:val="clear" w:color="auto" w:fill="auto"/>
            <w:vAlign w:val="center"/>
          </w:tcPr>
          <w:p w14:paraId="0E3DF5E4">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压铸</w:t>
            </w:r>
          </w:p>
        </w:tc>
        <w:tc>
          <w:tcPr>
            <w:tcW w:w="2541" w:type="dxa"/>
            <w:tcBorders>
              <w:top w:val="single" w:color="auto" w:sz="4" w:space="0"/>
              <w:left w:val="nil"/>
              <w:bottom w:val="single" w:color="auto" w:sz="4" w:space="0"/>
              <w:right w:val="single" w:color="auto" w:sz="4" w:space="0"/>
            </w:tcBorders>
            <w:shd w:val="clear" w:color="auto" w:fill="auto"/>
            <w:vAlign w:val="center"/>
          </w:tcPr>
          <w:p w14:paraId="37F88F8F">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颗粒物</w:t>
            </w:r>
          </w:p>
        </w:tc>
      </w:tr>
      <w:tr w14:paraId="6060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1C64F164">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0DF58BF4">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7F1B5401">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脱模废气</w:t>
            </w:r>
          </w:p>
        </w:tc>
        <w:tc>
          <w:tcPr>
            <w:tcW w:w="2412" w:type="dxa"/>
            <w:tcBorders>
              <w:top w:val="single" w:color="auto" w:sz="4" w:space="0"/>
              <w:left w:val="nil"/>
              <w:bottom w:val="single" w:color="auto" w:sz="4" w:space="0"/>
              <w:right w:val="single" w:color="auto" w:sz="4" w:space="0"/>
            </w:tcBorders>
            <w:shd w:val="clear" w:color="auto" w:fill="auto"/>
            <w:vAlign w:val="center"/>
          </w:tcPr>
          <w:p w14:paraId="7F15B14B">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脱模</w:t>
            </w:r>
          </w:p>
        </w:tc>
        <w:tc>
          <w:tcPr>
            <w:tcW w:w="2541" w:type="dxa"/>
            <w:tcBorders>
              <w:top w:val="single" w:color="auto" w:sz="4" w:space="0"/>
              <w:left w:val="nil"/>
              <w:bottom w:val="single" w:color="auto" w:sz="4" w:space="0"/>
              <w:right w:val="single" w:color="auto" w:sz="4" w:space="0"/>
            </w:tcBorders>
            <w:shd w:val="clear" w:color="auto" w:fill="auto"/>
            <w:vAlign w:val="center"/>
          </w:tcPr>
          <w:p w14:paraId="70CD8FEE">
            <w:pPr>
              <w:pStyle w:val="14"/>
              <w:widowControl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非甲烷总烃</w:t>
            </w:r>
          </w:p>
        </w:tc>
      </w:tr>
      <w:tr w14:paraId="4176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0DA5A89C">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2DA01D5F">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275483DA">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打磨、机加工废气</w:t>
            </w:r>
          </w:p>
        </w:tc>
        <w:tc>
          <w:tcPr>
            <w:tcW w:w="2412" w:type="dxa"/>
            <w:tcBorders>
              <w:top w:val="single" w:color="auto" w:sz="4" w:space="0"/>
              <w:left w:val="nil"/>
              <w:bottom w:val="single" w:color="auto" w:sz="4" w:space="0"/>
              <w:right w:val="single" w:color="auto" w:sz="4" w:space="0"/>
            </w:tcBorders>
            <w:shd w:val="clear" w:color="auto" w:fill="auto"/>
            <w:vAlign w:val="center"/>
          </w:tcPr>
          <w:p w14:paraId="0899849D">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打磨、机加工</w:t>
            </w:r>
          </w:p>
        </w:tc>
        <w:tc>
          <w:tcPr>
            <w:tcW w:w="2541" w:type="dxa"/>
            <w:tcBorders>
              <w:top w:val="single" w:color="auto" w:sz="4" w:space="0"/>
              <w:left w:val="nil"/>
              <w:bottom w:val="single" w:color="auto" w:sz="4" w:space="0"/>
              <w:right w:val="single" w:color="auto" w:sz="4" w:space="0"/>
            </w:tcBorders>
            <w:shd w:val="clear" w:color="auto" w:fill="auto"/>
            <w:vAlign w:val="center"/>
          </w:tcPr>
          <w:p w14:paraId="133426C5">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颗粒物、非甲烷总烃</w:t>
            </w:r>
          </w:p>
        </w:tc>
      </w:tr>
      <w:tr w14:paraId="5E63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6F84B9E7">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24AF324D">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00411996">
            <w:pPr>
              <w:pStyle w:val="14"/>
              <w:widowControl w:val="0"/>
              <w:adjustRightInd w:val="0"/>
              <w:snapToGrid w:val="0"/>
              <w:spacing w:before="0" w:beforeAutospacing="0" w:after="0" w:afterAutospacing="0" w:line="240" w:lineRule="exact"/>
              <w:jc w:val="center"/>
              <w:rPr>
                <w:rFonts w:hint="eastAsia" w:ascii="Times New Roman" w:hAnsi="Times New Roman" w:eastAsia="宋体"/>
                <w:sz w:val="21"/>
                <w:szCs w:val="21"/>
                <w:lang w:eastAsia="zh-CN"/>
              </w:rPr>
            </w:pPr>
            <w:r>
              <w:rPr>
                <w:rFonts w:ascii="Times New Roman" w:hAnsi="Times New Roman"/>
                <w:sz w:val="21"/>
                <w:szCs w:val="21"/>
                <w:lang w:bidi="ar"/>
              </w:rPr>
              <w:t>喷粉废气</w:t>
            </w: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未建设</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4B46347C">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喷粉</w:t>
            </w:r>
          </w:p>
        </w:tc>
        <w:tc>
          <w:tcPr>
            <w:tcW w:w="2541" w:type="dxa"/>
            <w:tcBorders>
              <w:top w:val="single" w:color="auto" w:sz="4" w:space="0"/>
              <w:left w:val="nil"/>
              <w:bottom w:val="single" w:color="auto" w:sz="4" w:space="0"/>
              <w:right w:val="single" w:color="auto" w:sz="4" w:space="0"/>
            </w:tcBorders>
            <w:shd w:val="clear" w:color="auto" w:fill="auto"/>
            <w:vAlign w:val="center"/>
          </w:tcPr>
          <w:p w14:paraId="0E7F06A5">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颗粒物</w:t>
            </w:r>
          </w:p>
        </w:tc>
      </w:tr>
      <w:tr w14:paraId="5316E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7DF2BA83">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3672EF0A">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001A7049">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固化燃烧废气</w:t>
            </w: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未建设</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2A12E576">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固化炉天然气燃烧</w:t>
            </w:r>
          </w:p>
        </w:tc>
        <w:tc>
          <w:tcPr>
            <w:tcW w:w="2541" w:type="dxa"/>
            <w:tcBorders>
              <w:top w:val="single" w:color="auto" w:sz="4" w:space="0"/>
              <w:left w:val="nil"/>
              <w:bottom w:val="single" w:color="auto" w:sz="4" w:space="0"/>
              <w:right w:val="single" w:color="auto" w:sz="4" w:space="0"/>
            </w:tcBorders>
            <w:shd w:val="clear" w:color="auto" w:fill="auto"/>
            <w:vAlign w:val="center"/>
          </w:tcPr>
          <w:p w14:paraId="524E5C55">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颗粒物、SO</w:t>
            </w:r>
            <w:r>
              <w:rPr>
                <w:rFonts w:ascii="Times New Roman" w:hAnsi="Times New Roman"/>
                <w:sz w:val="21"/>
                <w:szCs w:val="21"/>
                <w:vertAlign w:val="subscript"/>
              </w:rPr>
              <w:t>2</w:t>
            </w:r>
            <w:r>
              <w:rPr>
                <w:rFonts w:ascii="Times New Roman" w:hAnsi="Times New Roman"/>
                <w:sz w:val="21"/>
                <w:szCs w:val="21"/>
              </w:rPr>
              <w:t>、NO</w:t>
            </w:r>
            <w:r>
              <w:rPr>
                <w:rFonts w:ascii="Times New Roman" w:hAnsi="Times New Roman"/>
                <w:sz w:val="21"/>
                <w:szCs w:val="21"/>
                <w:vertAlign w:val="subscript"/>
              </w:rPr>
              <w:t>X</w:t>
            </w:r>
          </w:p>
        </w:tc>
      </w:tr>
      <w:tr w14:paraId="595B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4F2235ED">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76A3F6F1">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64312D36">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固化有机废气</w:t>
            </w: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未建设</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66A666BF">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固化</w:t>
            </w:r>
          </w:p>
        </w:tc>
        <w:tc>
          <w:tcPr>
            <w:tcW w:w="2541" w:type="dxa"/>
            <w:tcBorders>
              <w:top w:val="single" w:color="auto" w:sz="4" w:space="0"/>
              <w:left w:val="nil"/>
              <w:bottom w:val="single" w:color="auto" w:sz="4" w:space="0"/>
              <w:right w:val="single" w:color="auto" w:sz="4" w:space="0"/>
            </w:tcBorders>
            <w:shd w:val="clear" w:color="auto" w:fill="auto"/>
            <w:vAlign w:val="center"/>
          </w:tcPr>
          <w:p w14:paraId="475DD66A">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非甲烷总烃</w:t>
            </w:r>
          </w:p>
        </w:tc>
      </w:tr>
      <w:tr w14:paraId="368A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08795DF4">
            <w:pPr>
              <w:spacing w:line="240" w:lineRule="exact"/>
              <w:ind w:firstLine="420"/>
              <w:rPr>
                <w:sz w:val="21"/>
                <w:szCs w:val="21"/>
              </w:rPr>
            </w:pPr>
          </w:p>
        </w:tc>
        <w:tc>
          <w:tcPr>
            <w:tcW w:w="736" w:type="dxa"/>
            <w:tcBorders>
              <w:top w:val="single" w:color="auto" w:sz="4" w:space="0"/>
              <w:left w:val="nil"/>
              <w:bottom w:val="single" w:color="auto" w:sz="4" w:space="0"/>
              <w:right w:val="single" w:color="auto" w:sz="4" w:space="0"/>
            </w:tcBorders>
            <w:shd w:val="clear" w:color="auto" w:fill="auto"/>
            <w:vAlign w:val="center"/>
          </w:tcPr>
          <w:p w14:paraId="406C8CF3">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噪声</w:t>
            </w:r>
          </w:p>
        </w:tc>
        <w:tc>
          <w:tcPr>
            <w:tcW w:w="2381" w:type="dxa"/>
            <w:tcBorders>
              <w:top w:val="single" w:color="auto" w:sz="4" w:space="0"/>
              <w:left w:val="nil"/>
              <w:bottom w:val="single" w:color="auto" w:sz="4" w:space="0"/>
              <w:right w:val="single" w:color="auto" w:sz="4" w:space="0"/>
            </w:tcBorders>
            <w:shd w:val="clear" w:color="auto" w:fill="auto"/>
            <w:vAlign w:val="center"/>
          </w:tcPr>
          <w:p w14:paraId="232CD57B">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生产设备噪声</w:t>
            </w:r>
          </w:p>
        </w:tc>
        <w:tc>
          <w:tcPr>
            <w:tcW w:w="2412" w:type="dxa"/>
            <w:tcBorders>
              <w:top w:val="single" w:color="auto" w:sz="4" w:space="0"/>
              <w:left w:val="nil"/>
              <w:bottom w:val="single" w:color="auto" w:sz="4" w:space="0"/>
              <w:right w:val="single" w:color="auto" w:sz="4" w:space="0"/>
            </w:tcBorders>
            <w:shd w:val="clear" w:color="auto" w:fill="auto"/>
            <w:vAlign w:val="center"/>
          </w:tcPr>
          <w:p w14:paraId="63D62F7D">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铸造、机加工及喷粉等</w:t>
            </w:r>
          </w:p>
        </w:tc>
        <w:tc>
          <w:tcPr>
            <w:tcW w:w="2541" w:type="dxa"/>
            <w:tcBorders>
              <w:top w:val="single" w:color="auto" w:sz="4" w:space="0"/>
              <w:left w:val="nil"/>
              <w:bottom w:val="single" w:color="auto" w:sz="4" w:space="0"/>
              <w:right w:val="single" w:color="auto" w:sz="4" w:space="0"/>
            </w:tcBorders>
            <w:shd w:val="clear" w:color="auto" w:fill="auto"/>
            <w:vAlign w:val="center"/>
          </w:tcPr>
          <w:p w14:paraId="18649E39">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Leq</w:t>
            </w:r>
          </w:p>
        </w:tc>
      </w:tr>
      <w:tr w14:paraId="53E0D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7155EE12">
            <w:pPr>
              <w:spacing w:line="240" w:lineRule="exact"/>
              <w:ind w:firstLine="420"/>
              <w:rPr>
                <w:sz w:val="21"/>
                <w:szCs w:val="21"/>
              </w:rPr>
            </w:pPr>
          </w:p>
        </w:tc>
        <w:tc>
          <w:tcPr>
            <w:tcW w:w="736" w:type="dxa"/>
            <w:vMerge w:val="restart"/>
            <w:tcBorders>
              <w:top w:val="nil"/>
              <w:left w:val="nil"/>
              <w:right w:val="single" w:color="auto" w:sz="4" w:space="0"/>
            </w:tcBorders>
            <w:shd w:val="clear" w:color="auto" w:fill="auto"/>
            <w:vAlign w:val="center"/>
          </w:tcPr>
          <w:p w14:paraId="72D9243E">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固废</w:t>
            </w:r>
          </w:p>
        </w:tc>
        <w:tc>
          <w:tcPr>
            <w:tcW w:w="2381" w:type="dxa"/>
            <w:tcBorders>
              <w:top w:val="single" w:color="auto" w:sz="4" w:space="0"/>
              <w:left w:val="nil"/>
              <w:bottom w:val="single" w:color="auto" w:sz="4" w:space="0"/>
              <w:right w:val="single" w:color="auto" w:sz="4" w:space="0"/>
            </w:tcBorders>
            <w:shd w:val="clear" w:color="auto" w:fill="auto"/>
            <w:vAlign w:val="center"/>
          </w:tcPr>
          <w:p w14:paraId="0E12A807">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生活垃圾</w:t>
            </w:r>
          </w:p>
        </w:tc>
        <w:tc>
          <w:tcPr>
            <w:tcW w:w="2412" w:type="dxa"/>
            <w:tcBorders>
              <w:top w:val="single" w:color="auto" w:sz="4" w:space="0"/>
              <w:left w:val="nil"/>
              <w:bottom w:val="single" w:color="auto" w:sz="4" w:space="0"/>
              <w:right w:val="single" w:color="auto" w:sz="4" w:space="0"/>
            </w:tcBorders>
            <w:shd w:val="clear" w:color="auto" w:fill="auto"/>
            <w:vAlign w:val="center"/>
          </w:tcPr>
          <w:p w14:paraId="1177E028">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职工生活</w:t>
            </w:r>
          </w:p>
        </w:tc>
        <w:tc>
          <w:tcPr>
            <w:tcW w:w="2541" w:type="dxa"/>
            <w:tcBorders>
              <w:top w:val="single" w:color="auto" w:sz="4" w:space="0"/>
              <w:left w:val="nil"/>
              <w:bottom w:val="single" w:color="auto" w:sz="4" w:space="0"/>
              <w:right w:val="single" w:color="auto" w:sz="4" w:space="0"/>
            </w:tcBorders>
            <w:shd w:val="clear" w:color="auto" w:fill="auto"/>
            <w:vAlign w:val="center"/>
          </w:tcPr>
          <w:p w14:paraId="3559E50F">
            <w:pPr>
              <w:pStyle w:val="14"/>
              <w:widowControl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lang w:bidi="ar"/>
              </w:rPr>
              <w:t>生活垃圾</w:t>
            </w:r>
          </w:p>
        </w:tc>
      </w:tr>
      <w:tr w14:paraId="4A6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195DDC75">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4B9B00CC">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6A7956AA">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边角料、不合格品</w:t>
            </w:r>
          </w:p>
        </w:tc>
        <w:tc>
          <w:tcPr>
            <w:tcW w:w="2412" w:type="dxa"/>
            <w:tcBorders>
              <w:top w:val="single" w:color="auto" w:sz="4" w:space="0"/>
              <w:left w:val="nil"/>
              <w:bottom w:val="single" w:color="auto" w:sz="4" w:space="0"/>
              <w:right w:val="single" w:color="auto" w:sz="4" w:space="0"/>
            </w:tcBorders>
            <w:shd w:val="clear" w:color="auto" w:fill="auto"/>
            <w:vAlign w:val="center"/>
          </w:tcPr>
          <w:p w14:paraId="465B5D02">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铸造、机加工</w:t>
            </w:r>
          </w:p>
        </w:tc>
        <w:tc>
          <w:tcPr>
            <w:tcW w:w="2541" w:type="dxa"/>
            <w:tcBorders>
              <w:top w:val="single" w:color="auto" w:sz="4" w:space="0"/>
              <w:left w:val="nil"/>
              <w:bottom w:val="single" w:color="auto" w:sz="4" w:space="0"/>
              <w:right w:val="single" w:color="auto" w:sz="4" w:space="0"/>
            </w:tcBorders>
            <w:shd w:val="clear" w:color="auto" w:fill="auto"/>
            <w:vAlign w:val="center"/>
          </w:tcPr>
          <w:p w14:paraId="3C5EEAFC">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rPr>
            </w:pPr>
            <w:r>
              <w:rPr>
                <w:rFonts w:ascii="Times New Roman" w:hAnsi="Times New Roman"/>
                <w:sz w:val="21"/>
                <w:szCs w:val="21"/>
              </w:rPr>
              <w:t>铝</w:t>
            </w:r>
            <w:r>
              <w:rPr>
                <w:rFonts w:hint="eastAsia" w:ascii="Times New Roman" w:hAnsi="Times New Roman"/>
                <w:sz w:val="21"/>
                <w:szCs w:val="21"/>
                <w:lang w:bidi="ar"/>
              </w:rPr>
              <w:t>等</w:t>
            </w:r>
          </w:p>
        </w:tc>
      </w:tr>
      <w:tr w14:paraId="68608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523C3238">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6A1C95CF">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258E960C">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打磨除尘收集的粉</w:t>
            </w:r>
          </w:p>
          <w:p w14:paraId="68C7BC74">
            <w:pPr>
              <w:pStyle w:val="14"/>
              <w:widowControl w:val="0"/>
              <w:autoSpaceDE w:val="0"/>
              <w:adjustRightInd w:val="0"/>
              <w:snapToGrid w:val="0"/>
              <w:spacing w:before="0" w:beforeAutospacing="0" w:after="0" w:afterAutospacing="0" w:line="240" w:lineRule="exact"/>
              <w:jc w:val="center"/>
              <w:rPr>
                <w:rFonts w:hint="eastAsia" w:ascii="Times New Roman" w:hAnsi="Times New Roman" w:eastAsia="宋体"/>
                <w:sz w:val="21"/>
                <w:szCs w:val="21"/>
                <w:lang w:eastAsia="zh-CN" w:bidi="ar"/>
              </w:rPr>
            </w:pP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泥渣</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3BF444FC">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废气处理</w:t>
            </w:r>
          </w:p>
        </w:tc>
        <w:tc>
          <w:tcPr>
            <w:tcW w:w="2541" w:type="dxa"/>
            <w:tcBorders>
              <w:top w:val="single" w:color="auto" w:sz="4" w:space="0"/>
              <w:left w:val="nil"/>
              <w:bottom w:val="single" w:color="auto" w:sz="4" w:space="0"/>
              <w:right w:val="single" w:color="auto" w:sz="4" w:space="0"/>
            </w:tcBorders>
            <w:shd w:val="clear" w:color="auto" w:fill="auto"/>
            <w:vAlign w:val="center"/>
          </w:tcPr>
          <w:p w14:paraId="1B578A33">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铝</w:t>
            </w:r>
            <w:r>
              <w:rPr>
                <w:rFonts w:hint="eastAsia" w:ascii="Times New Roman" w:hAnsi="Times New Roman"/>
                <w:sz w:val="21"/>
                <w:szCs w:val="21"/>
                <w:lang w:val="en-US" w:eastAsia="zh-CN" w:bidi="ar"/>
              </w:rPr>
              <w:t>合金</w:t>
            </w:r>
            <w:r>
              <w:rPr>
                <w:rFonts w:hint="eastAsia" w:ascii="Times New Roman" w:hAnsi="Times New Roman"/>
                <w:sz w:val="21"/>
                <w:szCs w:val="21"/>
                <w:lang w:bidi="ar"/>
              </w:rPr>
              <w:t>等</w:t>
            </w:r>
          </w:p>
        </w:tc>
      </w:tr>
      <w:tr w14:paraId="0AAF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660C89CF">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36F4D35E">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6EA0207A">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熔化及压铸</w:t>
            </w:r>
            <w:r>
              <w:rPr>
                <w:rFonts w:ascii="Times New Roman" w:hAnsi="Times New Roman"/>
                <w:sz w:val="21"/>
                <w:szCs w:val="21"/>
              </w:rPr>
              <w:t>除尘器收尘</w:t>
            </w:r>
          </w:p>
        </w:tc>
        <w:tc>
          <w:tcPr>
            <w:tcW w:w="2412" w:type="dxa"/>
            <w:tcBorders>
              <w:top w:val="single" w:color="auto" w:sz="4" w:space="0"/>
              <w:left w:val="nil"/>
              <w:bottom w:val="single" w:color="auto" w:sz="4" w:space="0"/>
              <w:right w:val="single" w:color="auto" w:sz="4" w:space="0"/>
            </w:tcBorders>
            <w:shd w:val="clear" w:color="auto" w:fill="auto"/>
            <w:vAlign w:val="center"/>
          </w:tcPr>
          <w:p w14:paraId="530E93F2">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废气处理</w:t>
            </w:r>
          </w:p>
        </w:tc>
        <w:tc>
          <w:tcPr>
            <w:tcW w:w="2541" w:type="dxa"/>
            <w:tcBorders>
              <w:top w:val="single" w:color="auto" w:sz="4" w:space="0"/>
              <w:left w:val="nil"/>
              <w:bottom w:val="single" w:color="auto" w:sz="4" w:space="0"/>
              <w:right w:val="single" w:color="auto" w:sz="4" w:space="0"/>
            </w:tcBorders>
            <w:shd w:val="clear" w:color="auto" w:fill="auto"/>
            <w:vAlign w:val="center"/>
          </w:tcPr>
          <w:p w14:paraId="7E75B446">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铝</w:t>
            </w:r>
            <w:r>
              <w:rPr>
                <w:rFonts w:hint="eastAsia" w:ascii="Times New Roman" w:hAnsi="Times New Roman"/>
                <w:sz w:val="21"/>
                <w:szCs w:val="21"/>
                <w:lang w:val="en-US" w:eastAsia="zh-CN" w:bidi="ar"/>
              </w:rPr>
              <w:t>合金</w:t>
            </w:r>
            <w:r>
              <w:rPr>
                <w:rFonts w:ascii="Times New Roman" w:hAnsi="Times New Roman"/>
                <w:sz w:val="21"/>
                <w:szCs w:val="21"/>
                <w:lang w:bidi="ar"/>
              </w:rPr>
              <w:t>等</w:t>
            </w:r>
          </w:p>
        </w:tc>
      </w:tr>
      <w:tr w14:paraId="6B350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50E37A45">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764355CD">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2DF8CB85">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废炉渣</w:t>
            </w:r>
          </w:p>
        </w:tc>
        <w:tc>
          <w:tcPr>
            <w:tcW w:w="2412" w:type="dxa"/>
            <w:tcBorders>
              <w:top w:val="single" w:color="auto" w:sz="4" w:space="0"/>
              <w:left w:val="nil"/>
              <w:bottom w:val="single" w:color="auto" w:sz="4" w:space="0"/>
              <w:right w:val="single" w:color="auto" w:sz="4" w:space="0"/>
            </w:tcBorders>
            <w:shd w:val="clear" w:color="auto" w:fill="auto"/>
            <w:vAlign w:val="center"/>
          </w:tcPr>
          <w:p w14:paraId="04A0BC45">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熔化</w:t>
            </w:r>
          </w:p>
        </w:tc>
        <w:tc>
          <w:tcPr>
            <w:tcW w:w="2541" w:type="dxa"/>
            <w:tcBorders>
              <w:top w:val="single" w:color="auto" w:sz="4" w:space="0"/>
              <w:left w:val="nil"/>
              <w:bottom w:val="single" w:color="auto" w:sz="4" w:space="0"/>
              <w:right w:val="single" w:color="auto" w:sz="4" w:space="0"/>
            </w:tcBorders>
            <w:shd w:val="clear" w:color="auto" w:fill="auto"/>
            <w:vAlign w:val="center"/>
          </w:tcPr>
          <w:p w14:paraId="452EACDC">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铝等</w:t>
            </w:r>
          </w:p>
        </w:tc>
      </w:tr>
      <w:tr w14:paraId="3A11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0421C08C">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5F966AEA">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2412A191">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废化学品桶</w:t>
            </w:r>
          </w:p>
        </w:tc>
        <w:tc>
          <w:tcPr>
            <w:tcW w:w="2412" w:type="dxa"/>
            <w:tcBorders>
              <w:top w:val="single" w:color="auto" w:sz="4" w:space="0"/>
              <w:left w:val="nil"/>
              <w:bottom w:val="single" w:color="auto" w:sz="4" w:space="0"/>
              <w:right w:val="single" w:color="auto" w:sz="4" w:space="0"/>
            </w:tcBorders>
            <w:shd w:val="clear" w:color="auto" w:fill="auto"/>
            <w:vAlign w:val="center"/>
          </w:tcPr>
          <w:p w14:paraId="3E389D27">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hint="eastAsia" w:ascii="Times New Roman" w:hAnsi="Times New Roman"/>
                <w:sz w:val="21"/>
                <w:szCs w:val="21"/>
                <w:lang w:bidi="ar"/>
              </w:rPr>
              <w:t>化料</w:t>
            </w:r>
            <w:r>
              <w:rPr>
                <w:rFonts w:ascii="Times New Roman" w:hAnsi="Times New Roman"/>
                <w:sz w:val="21"/>
                <w:szCs w:val="21"/>
                <w:lang w:bidi="ar"/>
              </w:rPr>
              <w:t>包装</w:t>
            </w:r>
          </w:p>
        </w:tc>
        <w:tc>
          <w:tcPr>
            <w:tcW w:w="2541" w:type="dxa"/>
            <w:tcBorders>
              <w:top w:val="single" w:color="auto" w:sz="4" w:space="0"/>
              <w:left w:val="nil"/>
              <w:bottom w:val="single" w:color="auto" w:sz="4" w:space="0"/>
              <w:right w:val="single" w:color="auto" w:sz="4" w:space="0"/>
            </w:tcBorders>
            <w:shd w:val="clear" w:color="auto" w:fill="auto"/>
            <w:vAlign w:val="center"/>
          </w:tcPr>
          <w:p w14:paraId="6A8BFB07">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包装桶</w:t>
            </w:r>
          </w:p>
        </w:tc>
      </w:tr>
      <w:tr w14:paraId="4547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0A39D5F2">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638D8618">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44A899F2">
            <w:pPr>
              <w:pStyle w:val="14"/>
              <w:widowControl w:val="0"/>
              <w:autoSpaceDE w:val="0"/>
              <w:adjustRightInd w:val="0"/>
              <w:snapToGrid w:val="0"/>
              <w:spacing w:before="0" w:beforeAutospacing="0" w:after="0" w:afterAutospacing="0" w:line="240" w:lineRule="exact"/>
              <w:jc w:val="center"/>
              <w:rPr>
                <w:rFonts w:hint="eastAsia" w:ascii="Times New Roman" w:hAnsi="Times New Roman" w:eastAsia="宋体"/>
                <w:sz w:val="21"/>
                <w:szCs w:val="21"/>
                <w:lang w:eastAsia="zh-CN" w:bidi="ar"/>
              </w:rPr>
            </w:pPr>
            <w:r>
              <w:rPr>
                <w:rFonts w:ascii="Times New Roman" w:hAnsi="Times New Roman"/>
                <w:sz w:val="21"/>
                <w:szCs w:val="21"/>
                <w:lang w:bidi="ar"/>
              </w:rPr>
              <w:t>废切削液</w:t>
            </w: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已取消</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64CCB2C1">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机加工</w:t>
            </w:r>
          </w:p>
        </w:tc>
        <w:tc>
          <w:tcPr>
            <w:tcW w:w="2541" w:type="dxa"/>
            <w:tcBorders>
              <w:top w:val="single" w:color="auto" w:sz="4" w:space="0"/>
              <w:left w:val="nil"/>
              <w:bottom w:val="single" w:color="auto" w:sz="4" w:space="0"/>
              <w:right w:val="single" w:color="auto" w:sz="4" w:space="0"/>
            </w:tcBorders>
            <w:shd w:val="clear" w:color="auto" w:fill="auto"/>
            <w:vAlign w:val="center"/>
          </w:tcPr>
          <w:p w14:paraId="0823A915">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切削液</w:t>
            </w:r>
          </w:p>
        </w:tc>
      </w:tr>
      <w:tr w14:paraId="2342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7DBCF377">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45D148BF">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461519C9">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废润滑油</w:t>
            </w:r>
          </w:p>
        </w:tc>
        <w:tc>
          <w:tcPr>
            <w:tcW w:w="2412" w:type="dxa"/>
            <w:tcBorders>
              <w:top w:val="single" w:color="auto" w:sz="4" w:space="0"/>
              <w:left w:val="nil"/>
              <w:bottom w:val="single" w:color="auto" w:sz="4" w:space="0"/>
              <w:right w:val="single" w:color="auto" w:sz="4" w:space="0"/>
            </w:tcBorders>
            <w:shd w:val="clear" w:color="auto" w:fill="auto"/>
            <w:vAlign w:val="center"/>
          </w:tcPr>
          <w:p w14:paraId="73D56AD1">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机器保养</w:t>
            </w:r>
          </w:p>
        </w:tc>
        <w:tc>
          <w:tcPr>
            <w:tcW w:w="2541" w:type="dxa"/>
            <w:tcBorders>
              <w:top w:val="single" w:color="auto" w:sz="4" w:space="0"/>
              <w:left w:val="nil"/>
              <w:bottom w:val="single" w:color="auto" w:sz="4" w:space="0"/>
              <w:right w:val="single" w:color="auto" w:sz="4" w:space="0"/>
            </w:tcBorders>
            <w:shd w:val="clear" w:color="auto" w:fill="auto"/>
            <w:vAlign w:val="center"/>
          </w:tcPr>
          <w:p w14:paraId="65397D0F">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润滑油</w:t>
            </w:r>
          </w:p>
        </w:tc>
      </w:tr>
      <w:tr w14:paraId="67621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 w:type="dxa"/>
            <w:vMerge w:val="continue"/>
            <w:tcBorders>
              <w:left w:val="single" w:color="auto" w:sz="4" w:space="0"/>
              <w:right w:val="single" w:color="auto" w:sz="4" w:space="0"/>
            </w:tcBorders>
            <w:shd w:val="clear" w:color="auto" w:fill="auto"/>
            <w:vAlign w:val="center"/>
          </w:tcPr>
          <w:p w14:paraId="4EBA2128">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5C614829">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60FB7C75">
            <w:pPr>
              <w:pStyle w:val="14"/>
              <w:widowControl w:val="0"/>
              <w:autoSpaceDE w:val="0"/>
              <w:adjustRightInd w:val="0"/>
              <w:snapToGrid w:val="0"/>
              <w:spacing w:before="0" w:beforeAutospacing="0" w:after="0" w:afterAutospacing="0" w:line="240" w:lineRule="exact"/>
              <w:jc w:val="center"/>
              <w:rPr>
                <w:rFonts w:hint="eastAsia" w:ascii="Times New Roman" w:hAnsi="Times New Roman" w:eastAsia="宋体"/>
                <w:sz w:val="21"/>
                <w:szCs w:val="21"/>
                <w:lang w:eastAsia="zh-CN" w:bidi="ar"/>
              </w:rPr>
            </w:pPr>
            <w:r>
              <w:rPr>
                <w:rFonts w:ascii="Times New Roman" w:hAnsi="Times New Roman"/>
                <w:sz w:val="21"/>
                <w:szCs w:val="21"/>
                <w:lang w:bidi="ar"/>
              </w:rPr>
              <w:t>废活性炭</w:t>
            </w:r>
            <w:r>
              <w:rPr>
                <w:rFonts w:hint="eastAsia" w:ascii="Times New Roman" w:hAnsi="Times New Roman"/>
                <w:sz w:val="21"/>
                <w:szCs w:val="21"/>
                <w:lang w:eastAsia="zh-CN" w:bidi="ar"/>
              </w:rPr>
              <w:t>（</w:t>
            </w:r>
            <w:r>
              <w:rPr>
                <w:rFonts w:hint="eastAsia" w:ascii="Times New Roman" w:hAnsi="Times New Roman"/>
                <w:sz w:val="21"/>
                <w:szCs w:val="21"/>
                <w:lang w:val="en-US" w:eastAsia="zh-CN" w:bidi="ar"/>
              </w:rPr>
              <w:t>已取消</w:t>
            </w:r>
            <w:r>
              <w:rPr>
                <w:rFonts w:hint="eastAsia" w:ascii="Times New Roman" w:hAnsi="Times New Roman"/>
                <w:sz w:val="21"/>
                <w:szCs w:val="21"/>
                <w:lang w:eastAsia="zh-CN" w:bidi="ar"/>
              </w:rPr>
              <w:t>）</w:t>
            </w:r>
          </w:p>
        </w:tc>
        <w:tc>
          <w:tcPr>
            <w:tcW w:w="2412" w:type="dxa"/>
            <w:tcBorders>
              <w:top w:val="single" w:color="auto" w:sz="4" w:space="0"/>
              <w:left w:val="nil"/>
              <w:bottom w:val="single" w:color="auto" w:sz="4" w:space="0"/>
              <w:right w:val="single" w:color="auto" w:sz="4" w:space="0"/>
            </w:tcBorders>
            <w:shd w:val="clear" w:color="auto" w:fill="auto"/>
            <w:vAlign w:val="center"/>
          </w:tcPr>
          <w:p w14:paraId="45A31C75">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废气处理</w:t>
            </w:r>
          </w:p>
        </w:tc>
        <w:tc>
          <w:tcPr>
            <w:tcW w:w="2541" w:type="dxa"/>
            <w:tcBorders>
              <w:top w:val="single" w:color="auto" w:sz="4" w:space="0"/>
              <w:left w:val="nil"/>
              <w:bottom w:val="single" w:color="auto" w:sz="4" w:space="0"/>
              <w:right w:val="single" w:color="auto" w:sz="4" w:space="0"/>
            </w:tcBorders>
            <w:shd w:val="clear" w:color="auto" w:fill="auto"/>
            <w:vAlign w:val="center"/>
          </w:tcPr>
          <w:p w14:paraId="033D0046">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活性炭</w:t>
            </w:r>
            <w:r>
              <w:rPr>
                <w:rFonts w:hint="eastAsia" w:ascii="Times New Roman" w:hAnsi="Times New Roman"/>
                <w:sz w:val="21"/>
                <w:szCs w:val="21"/>
                <w:lang w:bidi="ar"/>
              </w:rPr>
              <w:t>、有机物</w:t>
            </w:r>
          </w:p>
        </w:tc>
      </w:tr>
      <w:tr w14:paraId="726E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2" w:type="dxa"/>
            <w:vMerge w:val="continue"/>
            <w:tcBorders>
              <w:left w:val="single" w:color="auto" w:sz="4" w:space="0"/>
              <w:right w:val="single" w:color="auto" w:sz="4" w:space="0"/>
            </w:tcBorders>
            <w:shd w:val="clear" w:color="auto" w:fill="auto"/>
            <w:vAlign w:val="center"/>
          </w:tcPr>
          <w:p w14:paraId="065F139F">
            <w:pPr>
              <w:spacing w:line="240" w:lineRule="exact"/>
              <w:ind w:firstLine="420"/>
              <w:rPr>
                <w:sz w:val="21"/>
                <w:szCs w:val="21"/>
              </w:rPr>
            </w:pPr>
          </w:p>
        </w:tc>
        <w:tc>
          <w:tcPr>
            <w:tcW w:w="736" w:type="dxa"/>
            <w:vMerge w:val="continue"/>
            <w:tcBorders>
              <w:left w:val="nil"/>
              <w:right w:val="single" w:color="auto" w:sz="4" w:space="0"/>
            </w:tcBorders>
            <w:shd w:val="clear" w:color="auto" w:fill="auto"/>
            <w:vAlign w:val="center"/>
          </w:tcPr>
          <w:p w14:paraId="6FB92091">
            <w:pPr>
              <w:spacing w:line="240" w:lineRule="exact"/>
              <w:ind w:firstLine="420"/>
              <w:rPr>
                <w:sz w:val="21"/>
                <w:szCs w:val="21"/>
              </w:rPr>
            </w:pPr>
          </w:p>
        </w:tc>
        <w:tc>
          <w:tcPr>
            <w:tcW w:w="2381" w:type="dxa"/>
            <w:tcBorders>
              <w:top w:val="single" w:color="auto" w:sz="4" w:space="0"/>
              <w:left w:val="nil"/>
              <w:bottom w:val="single" w:color="auto" w:sz="4" w:space="0"/>
              <w:right w:val="single" w:color="auto" w:sz="4" w:space="0"/>
            </w:tcBorders>
            <w:shd w:val="clear" w:color="auto" w:fill="auto"/>
            <w:vAlign w:val="center"/>
          </w:tcPr>
          <w:p w14:paraId="3363C74D">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废脱模剂</w:t>
            </w:r>
          </w:p>
        </w:tc>
        <w:tc>
          <w:tcPr>
            <w:tcW w:w="2412" w:type="dxa"/>
            <w:tcBorders>
              <w:top w:val="single" w:color="auto" w:sz="4" w:space="0"/>
              <w:left w:val="nil"/>
              <w:right w:val="single" w:color="auto" w:sz="4" w:space="0"/>
            </w:tcBorders>
            <w:shd w:val="clear" w:color="auto" w:fill="auto"/>
            <w:vAlign w:val="center"/>
          </w:tcPr>
          <w:p w14:paraId="5538E9C8">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脱模剂回收装置和静电吸附</w:t>
            </w:r>
          </w:p>
        </w:tc>
        <w:tc>
          <w:tcPr>
            <w:tcW w:w="2541" w:type="dxa"/>
            <w:tcBorders>
              <w:top w:val="single" w:color="auto" w:sz="4" w:space="0"/>
              <w:left w:val="nil"/>
              <w:right w:val="single" w:color="auto" w:sz="4" w:space="0"/>
            </w:tcBorders>
            <w:shd w:val="clear" w:color="auto" w:fill="auto"/>
            <w:vAlign w:val="center"/>
          </w:tcPr>
          <w:p w14:paraId="149B19F0">
            <w:pPr>
              <w:pStyle w:val="14"/>
              <w:widowControl w:val="0"/>
              <w:autoSpaceDE w:val="0"/>
              <w:adjustRightInd w:val="0"/>
              <w:snapToGrid w:val="0"/>
              <w:spacing w:before="0" w:beforeAutospacing="0" w:after="0" w:afterAutospacing="0" w:line="240" w:lineRule="exact"/>
              <w:jc w:val="center"/>
              <w:rPr>
                <w:rFonts w:ascii="Times New Roman" w:hAnsi="Times New Roman"/>
                <w:sz w:val="21"/>
                <w:szCs w:val="21"/>
                <w:lang w:bidi="ar"/>
              </w:rPr>
            </w:pPr>
            <w:r>
              <w:rPr>
                <w:rFonts w:ascii="Times New Roman" w:hAnsi="Times New Roman"/>
                <w:sz w:val="21"/>
                <w:szCs w:val="21"/>
                <w:lang w:bidi="ar"/>
              </w:rPr>
              <w:t>废脱模剂</w:t>
            </w:r>
            <w:r>
              <w:rPr>
                <w:rFonts w:hint="eastAsia" w:ascii="Times New Roman" w:hAnsi="Times New Roman"/>
                <w:sz w:val="21"/>
                <w:szCs w:val="21"/>
                <w:lang w:bidi="ar"/>
              </w:rPr>
              <w:t>等</w:t>
            </w:r>
          </w:p>
        </w:tc>
      </w:tr>
    </w:tbl>
    <w:p w14:paraId="60AD174A">
      <w:pPr>
        <w:pStyle w:val="7"/>
        <w:bidi w:val="0"/>
        <w:rPr>
          <w:rFonts w:hint="eastAsia"/>
          <w:lang w:val="en-US" w:eastAsia="zh-CN"/>
        </w:rPr>
      </w:pPr>
      <w:r>
        <w:rPr>
          <w:rFonts w:hint="eastAsia"/>
          <w:lang w:val="en-US" w:eastAsia="zh-CN"/>
        </w:rPr>
        <w:t>3.2环境影响分析结论</w:t>
      </w:r>
    </w:p>
    <w:p w14:paraId="353EE70A">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根据前文分析可知，本项目实际建设情况与环评阶段对比主要在于未建设</w:t>
      </w:r>
      <w:r>
        <w:rPr>
          <w:rFonts w:hint="eastAsia" w:cs="Times New Roman"/>
          <w:lang w:val="en-US" w:eastAsia="zh-CN"/>
        </w:rPr>
        <w:t>喷粉生产线</w:t>
      </w:r>
      <w:r>
        <w:rPr>
          <w:rFonts w:hint="eastAsia" w:ascii="Times New Roman" w:hAnsi="Times New Roman" w:eastAsia="宋体" w:cs="Times New Roman"/>
          <w:lang w:val="en-US" w:eastAsia="zh-CN"/>
        </w:rPr>
        <w:t>，</w:t>
      </w:r>
      <w:r>
        <w:rPr>
          <w:rFonts w:hint="eastAsia" w:cs="Times New Roman"/>
          <w:lang w:val="en-US" w:eastAsia="zh-CN"/>
        </w:rPr>
        <w:t>打磨工序废气处理工艺由布袋除尘器变更为湿式除尘器，并新增四台打磨机器人，</w:t>
      </w:r>
      <w:r>
        <w:rPr>
          <w:rFonts w:hint="eastAsia" w:ascii="Times New Roman" w:hAnsi="Times New Roman" w:eastAsia="宋体" w:cs="Times New Roman"/>
          <w:lang w:val="en-US" w:eastAsia="zh-CN"/>
        </w:rPr>
        <w:t>根据现场核实可知</w:t>
      </w:r>
      <w:r>
        <w:rPr>
          <w:rFonts w:hint="eastAsia" w:cs="Times New Roman"/>
          <w:lang w:val="en-US" w:eastAsia="zh-CN"/>
        </w:rPr>
        <w:t>打磨</w:t>
      </w:r>
      <w:r>
        <w:rPr>
          <w:rFonts w:hint="eastAsia" w:ascii="Times New Roman" w:hAnsi="Times New Roman" w:eastAsia="宋体" w:cs="Times New Roman"/>
          <w:lang w:val="en-US" w:eastAsia="zh-CN"/>
        </w:rPr>
        <w:t>工序</w:t>
      </w:r>
      <w:r>
        <w:rPr>
          <w:rFonts w:hint="eastAsia" w:cs="Times New Roman"/>
          <w:lang w:val="en-US" w:eastAsia="zh-CN"/>
        </w:rPr>
        <w:t>湿式除尘与布袋除尘效率一致（均为90%），因此除尘工艺变更不会导致废气污染物排放量增加，湿式除尘过程中自来水循环使用不排放，不新增废水排放。</w:t>
      </w:r>
    </w:p>
    <w:p w14:paraId="3E27F43D">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因此，项目各环境影响要素的影响分析结论未发生变化。</w:t>
      </w:r>
    </w:p>
    <w:p w14:paraId="3125517C">
      <w:pPr>
        <w:pStyle w:val="7"/>
        <w:bidi w:val="0"/>
        <w:rPr>
          <w:rFonts w:hint="eastAsia"/>
          <w:lang w:val="en-US" w:eastAsia="zh-CN"/>
        </w:rPr>
      </w:pPr>
      <w:r>
        <w:rPr>
          <w:rFonts w:hint="eastAsia"/>
          <w:lang w:val="en-US" w:eastAsia="zh-CN"/>
        </w:rPr>
        <w:t>3.3环境风险</w:t>
      </w:r>
    </w:p>
    <w:p w14:paraId="6F42F292">
      <w:pPr>
        <w:pStyle w:val="8"/>
        <w:bidi w:val="0"/>
        <w:rPr>
          <w:rFonts w:hint="eastAsia"/>
          <w:lang w:val="en-US" w:eastAsia="zh-CN"/>
        </w:rPr>
      </w:pPr>
      <w:r>
        <w:rPr>
          <w:rFonts w:hint="eastAsia"/>
          <w:lang w:val="en-US" w:eastAsia="zh-CN"/>
        </w:rPr>
        <w:t>3.3.1环境风险识别</w:t>
      </w:r>
    </w:p>
    <w:p w14:paraId="7A508246">
      <w:pPr>
        <w:pStyle w:val="22"/>
        <w:bidi w:val="0"/>
        <w:rPr>
          <w:rFonts w:hint="eastAsia"/>
          <w:lang w:val="en-US" w:eastAsia="zh-CN"/>
        </w:rPr>
      </w:pPr>
      <w:r>
        <w:rPr>
          <w:rFonts w:hint="eastAsia"/>
          <w:lang w:val="en-US" w:eastAsia="zh-CN"/>
        </w:rPr>
        <w:t>表3.3-1 环境风险识别对照一览表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3089"/>
        <w:gridCol w:w="2850"/>
        <w:gridCol w:w="1065"/>
      </w:tblGrid>
      <w:tr w14:paraId="2B8B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noWrap w:val="0"/>
            <w:vAlign w:val="center"/>
          </w:tcPr>
          <w:p w14:paraId="273A964E">
            <w:pPr>
              <w:pStyle w:val="23"/>
              <w:bidi w:val="0"/>
              <w:jc w:val="center"/>
              <w:rPr>
                <w:rFonts w:hint="default"/>
                <w:lang w:val="en-US" w:eastAsia="zh-CN"/>
              </w:rPr>
            </w:pPr>
            <w:r>
              <w:rPr>
                <w:rFonts w:hint="eastAsia"/>
                <w:lang w:val="en-US" w:eastAsia="zh-CN"/>
              </w:rPr>
              <w:t>项目</w:t>
            </w:r>
          </w:p>
        </w:tc>
        <w:tc>
          <w:tcPr>
            <w:tcW w:w="3089" w:type="dxa"/>
            <w:noWrap w:val="0"/>
            <w:vAlign w:val="center"/>
          </w:tcPr>
          <w:p w14:paraId="61AF4D3B">
            <w:pPr>
              <w:pStyle w:val="23"/>
              <w:bidi w:val="0"/>
              <w:jc w:val="center"/>
              <w:rPr>
                <w:rFonts w:hint="default"/>
                <w:lang w:val="en-US" w:eastAsia="zh-CN"/>
              </w:rPr>
            </w:pPr>
            <w:r>
              <w:rPr>
                <w:rFonts w:hint="eastAsia"/>
                <w:lang w:val="en-US" w:eastAsia="zh-CN"/>
              </w:rPr>
              <w:t>环评</w:t>
            </w:r>
          </w:p>
        </w:tc>
        <w:tc>
          <w:tcPr>
            <w:tcW w:w="2850" w:type="dxa"/>
            <w:noWrap w:val="0"/>
            <w:vAlign w:val="center"/>
          </w:tcPr>
          <w:p w14:paraId="3DF1CA9C">
            <w:pPr>
              <w:pStyle w:val="23"/>
              <w:bidi w:val="0"/>
              <w:jc w:val="center"/>
              <w:rPr>
                <w:rFonts w:hint="default"/>
                <w:lang w:val="en-US" w:eastAsia="zh-CN"/>
              </w:rPr>
            </w:pPr>
            <w:r>
              <w:rPr>
                <w:rFonts w:hint="eastAsia"/>
                <w:lang w:val="en-US" w:eastAsia="zh-CN"/>
              </w:rPr>
              <w:t>实际建设</w:t>
            </w:r>
          </w:p>
        </w:tc>
        <w:tc>
          <w:tcPr>
            <w:tcW w:w="1065" w:type="dxa"/>
            <w:noWrap w:val="0"/>
            <w:vAlign w:val="center"/>
          </w:tcPr>
          <w:p w14:paraId="3534D471">
            <w:pPr>
              <w:pStyle w:val="23"/>
              <w:bidi w:val="0"/>
              <w:jc w:val="center"/>
              <w:rPr>
                <w:rFonts w:hint="eastAsia"/>
                <w:lang w:val="en-US" w:eastAsia="zh-CN"/>
              </w:rPr>
            </w:pPr>
            <w:r>
              <w:rPr>
                <w:rFonts w:hint="eastAsia"/>
                <w:lang w:val="en-US" w:eastAsia="zh-CN"/>
              </w:rPr>
              <w:t>是否变化</w:t>
            </w:r>
          </w:p>
        </w:tc>
      </w:tr>
      <w:tr w14:paraId="61898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noWrap w:val="0"/>
            <w:vAlign w:val="center"/>
          </w:tcPr>
          <w:p w14:paraId="29CEE120">
            <w:pPr>
              <w:pStyle w:val="23"/>
              <w:bidi w:val="0"/>
              <w:jc w:val="center"/>
              <w:rPr>
                <w:rFonts w:hint="default"/>
                <w:lang w:val="en-US" w:eastAsia="zh-CN"/>
              </w:rPr>
            </w:pPr>
            <w:r>
              <w:rPr>
                <w:rFonts w:hint="eastAsia"/>
                <w:lang w:val="en-US" w:eastAsia="zh-CN"/>
              </w:rPr>
              <w:t>环境风险物质</w:t>
            </w:r>
          </w:p>
        </w:tc>
        <w:tc>
          <w:tcPr>
            <w:tcW w:w="3089" w:type="dxa"/>
            <w:noWrap w:val="0"/>
            <w:vAlign w:val="center"/>
          </w:tcPr>
          <w:p w14:paraId="26D0216D">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eastAsia="宋体"/>
                <w:lang w:val="en-US" w:eastAsia="zh-CN"/>
              </w:rPr>
            </w:pPr>
            <w:r>
              <w:rPr>
                <w:rFonts w:hint="eastAsia"/>
              </w:rPr>
              <w:t>本项目</w:t>
            </w:r>
            <w:r>
              <w:rPr>
                <w:rFonts w:hint="eastAsia"/>
                <w:lang w:eastAsia="zh-CN"/>
              </w:rPr>
              <w:t>不</w:t>
            </w:r>
            <w:r>
              <w:rPr>
                <w:rFonts w:hint="eastAsia"/>
              </w:rPr>
              <w:t>涉及</w:t>
            </w:r>
            <w:r>
              <w:rPr>
                <w:rFonts w:hint="eastAsia"/>
                <w:lang w:eastAsia="zh-CN"/>
              </w:rPr>
              <w:t>风险物质</w:t>
            </w:r>
          </w:p>
        </w:tc>
        <w:tc>
          <w:tcPr>
            <w:tcW w:w="2850" w:type="dxa"/>
            <w:noWrap w:val="0"/>
            <w:vAlign w:val="center"/>
          </w:tcPr>
          <w:p w14:paraId="597DD2A2">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lang w:val="en-US" w:eastAsia="zh-CN"/>
              </w:rPr>
            </w:pPr>
            <w:r>
              <w:rPr>
                <w:rFonts w:hint="eastAsia"/>
              </w:rPr>
              <w:t>本项目</w:t>
            </w:r>
            <w:r>
              <w:rPr>
                <w:rFonts w:hint="eastAsia"/>
                <w:lang w:eastAsia="zh-CN"/>
              </w:rPr>
              <w:t>不</w:t>
            </w:r>
            <w:r>
              <w:rPr>
                <w:rFonts w:hint="eastAsia"/>
              </w:rPr>
              <w:t>涉及</w:t>
            </w:r>
            <w:r>
              <w:rPr>
                <w:rFonts w:hint="eastAsia"/>
                <w:lang w:eastAsia="zh-CN"/>
              </w:rPr>
              <w:t>风险物质</w:t>
            </w:r>
          </w:p>
        </w:tc>
        <w:tc>
          <w:tcPr>
            <w:tcW w:w="1065" w:type="dxa"/>
            <w:noWrap w:val="0"/>
            <w:vAlign w:val="center"/>
          </w:tcPr>
          <w:p w14:paraId="7D16EF98">
            <w:pPr>
              <w:pStyle w:val="23"/>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lang w:eastAsia="zh-CN"/>
              </w:rPr>
            </w:pPr>
            <w:r>
              <w:rPr>
                <w:rFonts w:hint="eastAsia"/>
                <w:lang w:eastAsia="zh-CN"/>
              </w:rPr>
              <w:t>否</w:t>
            </w:r>
          </w:p>
        </w:tc>
      </w:tr>
      <w:tr w14:paraId="2AFE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noWrap w:val="0"/>
            <w:vAlign w:val="center"/>
          </w:tcPr>
          <w:p w14:paraId="2DD13BE2">
            <w:pPr>
              <w:pStyle w:val="23"/>
              <w:bidi w:val="0"/>
              <w:jc w:val="center"/>
              <w:rPr>
                <w:rFonts w:hint="default"/>
                <w:lang w:val="en-US" w:eastAsia="zh-CN"/>
              </w:rPr>
            </w:pPr>
            <w:r>
              <w:rPr>
                <w:rFonts w:hint="eastAsia"/>
              </w:rPr>
              <w:t>生产过程风险识别</w:t>
            </w:r>
          </w:p>
        </w:tc>
        <w:tc>
          <w:tcPr>
            <w:tcW w:w="3089" w:type="dxa"/>
            <w:noWrap w:val="0"/>
            <w:vAlign w:val="center"/>
          </w:tcPr>
          <w:p w14:paraId="6B99B7CD">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1、根据风险导则，本项目不存在重大危险源。</w:t>
            </w:r>
          </w:p>
          <w:p w14:paraId="4A665C6A">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2、本项目事故风险的类别主要是现有</w:t>
            </w:r>
            <w:r>
              <w:rPr>
                <w:rFonts w:hint="eastAsia" w:asciiTheme="minorEastAsia" w:hAnsiTheme="minorEastAsia" w:eastAsiaTheme="minorEastAsia" w:cstheme="minorEastAsia"/>
                <w:color w:val="auto"/>
                <w:highlight w:val="none"/>
                <w:lang w:val="en-US" w:eastAsia="zh-CN"/>
              </w:rPr>
              <w:t>润滑油、脱模剂、铝水</w:t>
            </w:r>
            <w:r>
              <w:rPr>
                <w:rFonts w:hint="default"/>
                <w:lang w:val="en-US" w:eastAsia="zh-CN"/>
              </w:rPr>
              <w:t>、危废废物等泄漏状况下环境污染。</w:t>
            </w:r>
          </w:p>
        </w:tc>
        <w:tc>
          <w:tcPr>
            <w:tcW w:w="2850" w:type="dxa"/>
            <w:noWrap w:val="0"/>
            <w:vAlign w:val="center"/>
          </w:tcPr>
          <w:p w14:paraId="2B09924B">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1、根据风险导则，本项目不存在重大危险源。</w:t>
            </w:r>
          </w:p>
          <w:p w14:paraId="6C4451B5">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lang w:val="en-US" w:eastAsia="zh-CN"/>
              </w:rPr>
            </w:pPr>
            <w:r>
              <w:rPr>
                <w:rFonts w:hint="default"/>
                <w:lang w:val="en-US" w:eastAsia="zh-CN"/>
              </w:rPr>
              <w:t>2、本项目事故风险的类别主要是现有</w:t>
            </w:r>
            <w:r>
              <w:rPr>
                <w:rFonts w:hint="eastAsia" w:asciiTheme="minorEastAsia" w:hAnsiTheme="minorEastAsia" w:eastAsiaTheme="minorEastAsia" w:cstheme="minorEastAsia"/>
                <w:color w:val="auto"/>
                <w:highlight w:val="none"/>
                <w:lang w:val="en-US" w:eastAsia="zh-CN"/>
              </w:rPr>
              <w:t>润滑油、脱模剂、铝水</w:t>
            </w:r>
            <w:r>
              <w:rPr>
                <w:rFonts w:hint="default"/>
                <w:lang w:val="en-US" w:eastAsia="zh-CN"/>
              </w:rPr>
              <w:t>、危废废物等泄漏状况下环境污染。</w:t>
            </w:r>
          </w:p>
        </w:tc>
        <w:tc>
          <w:tcPr>
            <w:tcW w:w="1065" w:type="dxa"/>
            <w:noWrap w:val="0"/>
            <w:vAlign w:val="center"/>
          </w:tcPr>
          <w:p w14:paraId="546B833F">
            <w:pPr>
              <w:pStyle w:val="23"/>
              <w:keepNext w:val="0"/>
              <w:keepLines w:val="0"/>
              <w:pageBreakBefore w:val="0"/>
              <w:widowControl w:val="0"/>
              <w:kinsoku/>
              <w:wordWrap/>
              <w:overflowPunct/>
              <w:topLinePunct w:val="0"/>
              <w:autoSpaceDE/>
              <w:autoSpaceDN/>
              <w:bidi w:val="0"/>
              <w:adjustRightInd w:val="0"/>
              <w:snapToGrid w:val="0"/>
              <w:jc w:val="center"/>
              <w:textAlignment w:val="auto"/>
              <w:rPr>
                <w:rFonts w:hint="eastAsia"/>
              </w:rPr>
            </w:pPr>
            <w:r>
              <w:rPr>
                <w:rFonts w:hint="eastAsia"/>
                <w:lang w:eastAsia="zh-CN"/>
              </w:rPr>
              <w:t>否</w:t>
            </w:r>
          </w:p>
        </w:tc>
      </w:tr>
    </w:tbl>
    <w:p w14:paraId="341C3F5A">
      <w:pPr>
        <w:pStyle w:val="8"/>
        <w:bidi w:val="0"/>
        <w:rPr>
          <w:rFonts w:hint="eastAsia"/>
          <w:lang w:val="en-US" w:eastAsia="zh-CN"/>
        </w:rPr>
      </w:pPr>
      <w:r>
        <w:rPr>
          <w:rFonts w:hint="eastAsia"/>
          <w:lang w:val="en-US" w:eastAsia="zh-CN"/>
        </w:rPr>
        <w:t>3.3.2环境风险防范措施</w:t>
      </w:r>
    </w:p>
    <w:p w14:paraId="07E9987E">
      <w:pPr>
        <w:pStyle w:val="22"/>
        <w:bidi w:val="0"/>
        <w:rPr>
          <w:rFonts w:hint="eastAsia"/>
          <w:lang w:val="en-US" w:eastAsia="zh-CN"/>
        </w:rPr>
      </w:pPr>
      <w:r>
        <w:rPr>
          <w:rFonts w:hint="eastAsia"/>
          <w:lang w:val="en-US" w:eastAsia="zh-CN"/>
        </w:rPr>
        <w:t>表3.3-2 环境风险防范措施对照一览表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3075"/>
        <w:gridCol w:w="3225"/>
        <w:gridCol w:w="1064"/>
      </w:tblGrid>
      <w:tr w14:paraId="64EB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39FE67B2">
            <w:pPr>
              <w:pStyle w:val="23"/>
              <w:bidi w:val="0"/>
              <w:jc w:val="center"/>
              <w:rPr>
                <w:rFonts w:hint="default"/>
                <w:lang w:val="en-US" w:eastAsia="zh-CN"/>
              </w:rPr>
            </w:pPr>
            <w:r>
              <w:rPr>
                <w:rFonts w:hint="eastAsia"/>
                <w:lang w:val="en-US" w:eastAsia="zh-CN"/>
              </w:rPr>
              <w:t>项目</w:t>
            </w:r>
          </w:p>
        </w:tc>
        <w:tc>
          <w:tcPr>
            <w:tcW w:w="3075" w:type="dxa"/>
            <w:noWrap w:val="0"/>
            <w:vAlign w:val="center"/>
          </w:tcPr>
          <w:p w14:paraId="3DFD2CCB">
            <w:pPr>
              <w:pStyle w:val="23"/>
              <w:bidi w:val="0"/>
              <w:jc w:val="center"/>
              <w:rPr>
                <w:rFonts w:hint="default"/>
                <w:lang w:val="en-US" w:eastAsia="zh-CN"/>
              </w:rPr>
            </w:pPr>
            <w:r>
              <w:rPr>
                <w:rFonts w:hint="eastAsia"/>
                <w:lang w:val="en-US" w:eastAsia="zh-CN"/>
              </w:rPr>
              <w:t>环评</w:t>
            </w:r>
          </w:p>
        </w:tc>
        <w:tc>
          <w:tcPr>
            <w:tcW w:w="3225" w:type="dxa"/>
            <w:noWrap w:val="0"/>
            <w:vAlign w:val="center"/>
          </w:tcPr>
          <w:p w14:paraId="5DD802CE">
            <w:pPr>
              <w:pStyle w:val="23"/>
              <w:bidi w:val="0"/>
              <w:jc w:val="center"/>
              <w:rPr>
                <w:rFonts w:hint="default"/>
                <w:lang w:val="en-US" w:eastAsia="zh-CN"/>
              </w:rPr>
            </w:pPr>
            <w:r>
              <w:rPr>
                <w:rFonts w:hint="eastAsia"/>
                <w:lang w:val="en-US" w:eastAsia="zh-CN"/>
              </w:rPr>
              <w:t>实际建设</w:t>
            </w:r>
          </w:p>
        </w:tc>
        <w:tc>
          <w:tcPr>
            <w:tcW w:w="1064" w:type="dxa"/>
            <w:noWrap w:val="0"/>
            <w:vAlign w:val="center"/>
          </w:tcPr>
          <w:p w14:paraId="1B96F31D">
            <w:pPr>
              <w:pStyle w:val="23"/>
              <w:bidi w:val="0"/>
              <w:ind w:firstLine="0" w:firstLineChars="0"/>
              <w:jc w:val="center"/>
              <w:rPr>
                <w:rFonts w:hint="eastAsia"/>
                <w:lang w:val="en-US" w:eastAsia="zh-CN"/>
              </w:rPr>
            </w:pPr>
            <w:r>
              <w:rPr>
                <w:rFonts w:hint="eastAsia"/>
                <w:lang w:val="en-US" w:eastAsia="zh-CN"/>
              </w:rPr>
              <w:t>是否变化</w:t>
            </w:r>
          </w:p>
        </w:tc>
      </w:tr>
      <w:tr w14:paraId="4F97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6" w:type="dxa"/>
            <w:noWrap w:val="0"/>
            <w:vAlign w:val="center"/>
          </w:tcPr>
          <w:p w14:paraId="60A96822">
            <w:pPr>
              <w:pStyle w:val="23"/>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环境风险防范措施</w:t>
            </w:r>
          </w:p>
        </w:tc>
        <w:tc>
          <w:tcPr>
            <w:tcW w:w="3075" w:type="dxa"/>
            <w:noWrap w:val="0"/>
            <w:vAlign w:val="center"/>
          </w:tcPr>
          <w:p w14:paraId="2DFC21BE">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default" w:ascii="Times New Roman" w:hAnsi="Times New Roman" w:eastAsia="宋体" w:cs="Times New Roman"/>
                <w:lang w:val="en-US" w:eastAsia="zh-CN"/>
              </w:rPr>
            </w:pPr>
            <w:r>
              <w:rPr>
                <w:rFonts w:hint="eastAsia"/>
                <w:szCs w:val="21"/>
              </w:rPr>
              <w:t>加强环境管理，做好原辅料、成品的储存</w:t>
            </w:r>
            <w:r>
              <w:rPr>
                <w:rFonts w:hint="eastAsia"/>
                <w:szCs w:val="21"/>
                <w:lang w:eastAsia="zh-CN"/>
              </w:rPr>
              <w:t>，</w:t>
            </w:r>
            <w:r>
              <w:rPr>
                <w:rFonts w:hint="eastAsia"/>
                <w:szCs w:val="21"/>
                <w:lang w:val="en-US" w:eastAsia="zh-CN"/>
              </w:rPr>
              <w:t>厂区内采取分区防渗，</w:t>
            </w:r>
            <w:r>
              <w:rPr>
                <w:rFonts w:hint="eastAsia"/>
                <w:szCs w:val="21"/>
              </w:rPr>
              <w:t>生产操作过程中，加强安全管理。</w:t>
            </w:r>
          </w:p>
        </w:tc>
        <w:tc>
          <w:tcPr>
            <w:tcW w:w="3225" w:type="dxa"/>
            <w:noWrap w:val="0"/>
            <w:vAlign w:val="center"/>
          </w:tcPr>
          <w:p w14:paraId="131A9622">
            <w:pPr>
              <w:pStyle w:val="23"/>
              <w:keepNext w:val="0"/>
              <w:keepLines w:val="0"/>
              <w:pageBreakBefore w:val="0"/>
              <w:widowControl w:val="0"/>
              <w:kinsoku/>
              <w:wordWrap/>
              <w:overflowPunct/>
              <w:topLinePunct w:val="0"/>
              <w:autoSpaceDE/>
              <w:autoSpaceDN/>
              <w:bidi w:val="0"/>
              <w:adjustRightInd w:val="0"/>
              <w:snapToGrid w:val="0"/>
              <w:ind w:firstLine="420" w:firstLineChars="200"/>
              <w:jc w:val="left"/>
              <w:textAlignment w:val="auto"/>
              <w:rPr>
                <w:rFonts w:hint="eastAsia" w:ascii="Times New Roman" w:hAnsi="Times New Roman" w:eastAsia="宋体" w:cs="Times New Roman"/>
                <w:lang w:val="en-US" w:eastAsia="zh-CN"/>
              </w:rPr>
            </w:pPr>
            <w:r>
              <w:rPr>
                <w:rFonts w:hint="eastAsia"/>
                <w:szCs w:val="21"/>
              </w:rPr>
              <w:t>加强环境管理，做好原辅料、成品的储存</w:t>
            </w:r>
            <w:r>
              <w:rPr>
                <w:rFonts w:hint="eastAsia"/>
                <w:szCs w:val="21"/>
                <w:lang w:eastAsia="zh-CN"/>
              </w:rPr>
              <w:t>，</w:t>
            </w:r>
            <w:r>
              <w:rPr>
                <w:rFonts w:hint="eastAsia"/>
                <w:szCs w:val="21"/>
                <w:lang w:val="en-US" w:eastAsia="zh-CN"/>
              </w:rPr>
              <w:t>厂区内采取分区防渗，</w:t>
            </w:r>
            <w:r>
              <w:rPr>
                <w:rFonts w:hint="eastAsia"/>
                <w:szCs w:val="21"/>
              </w:rPr>
              <w:t>生产操作过程中，加强安全管理。</w:t>
            </w:r>
          </w:p>
        </w:tc>
        <w:tc>
          <w:tcPr>
            <w:tcW w:w="1064" w:type="dxa"/>
            <w:noWrap w:val="0"/>
            <w:vAlign w:val="center"/>
          </w:tcPr>
          <w:p w14:paraId="129A9066">
            <w:pPr>
              <w:pStyle w:val="23"/>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default" w:ascii="Times New Roman" w:hAnsi="Times New Roman" w:eastAsia="宋体" w:cs="Times New Roman"/>
                <w:lang w:val="en-US" w:eastAsia="zh-CN"/>
              </w:rPr>
            </w:pPr>
            <w:r>
              <w:rPr>
                <w:rFonts w:hint="eastAsia"/>
                <w:lang w:eastAsia="zh-CN"/>
              </w:rPr>
              <w:t>否</w:t>
            </w:r>
          </w:p>
        </w:tc>
      </w:tr>
    </w:tbl>
    <w:p w14:paraId="47074120">
      <w:pPr>
        <w:pStyle w:val="6"/>
        <w:bidi w:val="0"/>
        <w:rPr>
          <w:rFonts w:hint="eastAsia"/>
          <w:lang w:val="en-US" w:eastAsia="zh-CN"/>
        </w:rPr>
      </w:pPr>
      <w:r>
        <w:rPr>
          <w:rFonts w:hint="eastAsia"/>
          <w:lang w:val="en-US" w:eastAsia="zh-CN"/>
        </w:rPr>
        <w:t>4结论</w:t>
      </w:r>
    </w:p>
    <w:p w14:paraId="2E510A28">
      <w:pPr>
        <w:rPr>
          <w:rFonts w:hint="eastAsia" w:eastAsia="宋体"/>
          <w:lang w:val="en-US" w:eastAsia="zh-CN"/>
        </w:rPr>
      </w:pPr>
      <w:r>
        <w:rPr>
          <w:rFonts w:hint="eastAsia"/>
          <w:lang w:val="en-US" w:eastAsia="zh-CN"/>
        </w:rPr>
        <w:t>综上所述，本项目发生非重大变动后，原建设项目环境影响评价结论不发生变化，从环保角度而言，项目在认真落实环评中提出的各项污染防治措施，严格执行“三同时”制度，确保污染物达标排放，加强环保管理和安全生产的前提下，项目实施是可行的。</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E849C">
    <w:pPr>
      <w:pStyle w:val="1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7FFD3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77FFD3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wZmJkYzljY2UzZGI5ZmY5Y2RkZjBmNjI2YzJhNjIifQ=="/>
  </w:docVars>
  <w:rsids>
    <w:rsidRoot w:val="3BE41F7A"/>
    <w:rsid w:val="012052E8"/>
    <w:rsid w:val="018D384A"/>
    <w:rsid w:val="01965B57"/>
    <w:rsid w:val="036357D3"/>
    <w:rsid w:val="037F4DFD"/>
    <w:rsid w:val="054902B4"/>
    <w:rsid w:val="06AD0713"/>
    <w:rsid w:val="09A977F6"/>
    <w:rsid w:val="0CA93AB4"/>
    <w:rsid w:val="0E2A5C1A"/>
    <w:rsid w:val="0F1F4E83"/>
    <w:rsid w:val="0F843530"/>
    <w:rsid w:val="117A7DFF"/>
    <w:rsid w:val="121A373A"/>
    <w:rsid w:val="12AB53EB"/>
    <w:rsid w:val="14343836"/>
    <w:rsid w:val="14FE5F5C"/>
    <w:rsid w:val="18C41D98"/>
    <w:rsid w:val="202535AE"/>
    <w:rsid w:val="22563617"/>
    <w:rsid w:val="24FC13B1"/>
    <w:rsid w:val="2B2F6D4C"/>
    <w:rsid w:val="2BE51C61"/>
    <w:rsid w:val="2DD25D35"/>
    <w:rsid w:val="31AF3DBD"/>
    <w:rsid w:val="34C41CDB"/>
    <w:rsid w:val="352D5D11"/>
    <w:rsid w:val="35B035D4"/>
    <w:rsid w:val="377318CC"/>
    <w:rsid w:val="377B00B7"/>
    <w:rsid w:val="378A132C"/>
    <w:rsid w:val="392F57DE"/>
    <w:rsid w:val="3AEA0A5B"/>
    <w:rsid w:val="3CE615D6"/>
    <w:rsid w:val="3D864CBB"/>
    <w:rsid w:val="3FA255B3"/>
    <w:rsid w:val="4736414F"/>
    <w:rsid w:val="4BB270BA"/>
    <w:rsid w:val="4E484B22"/>
    <w:rsid w:val="509931E0"/>
    <w:rsid w:val="52213F08"/>
    <w:rsid w:val="538F1BCC"/>
    <w:rsid w:val="59F9006D"/>
    <w:rsid w:val="5A9F2092"/>
    <w:rsid w:val="5BBC76ED"/>
    <w:rsid w:val="5E2F2199"/>
    <w:rsid w:val="60D31FE1"/>
    <w:rsid w:val="618F2BF9"/>
    <w:rsid w:val="646743EC"/>
    <w:rsid w:val="6AB204F0"/>
    <w:rsid w:val="6AB216E8"/>
    <w:rsid w:val="74224CEA"/>
    <w:rsid w:val="760E64DB"/>
    <w:rsid w:val="78C93272"/>
    <w:rsid w:val="78D70313"/>
    <w:rsid w:val="7F0F72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left"/>
    </w:pPr>
    <w:rPr>
      <w:rFonts w:ascii="Times New Roman" w:hAnsi="Times New Roman" w:eastAsia="宋体" w:cs="Times New Roman"/>
      <w:kern w:val="2"/>
      <w:sz w:val="24"/>
      <w:szCs w:val="28"/>
      <w:lang w:val="en-US" w:eastAsia="zh-CN" w:bidi="ar-SA"/>
    </w:rPr>
  </w:style>
  <w:style w:type="paragraph" w:styleId="5">
    <w:name w:val="heading 1"/>
    <w:basedOn w:val="1"/>
    <w:next w:val="1"/>
    <w:link w:val="19"/>
    <w:qFormat/>
    <w:uiPriority w:val="0"/>
    <w:pPr>
      <w:keepNext/>
      <w:keepLines/>
      <w:spacing w:before="50" w:beforeLines="50" w:after="50" w:afterLines="50" w:line="480" w:lineRule="auto"/>
      <w:ind w:firstLine="0" w:firstLineChars="0"/>
      <w:jc w:val="left"/>
      <w:outlineLvl w:val="0"/>
    </w:pPr>
    <w:rPr>
      <w:rFonts w:eastAsia="宋体"/>
      <w:b/>
      <w:bCs/>
      <w:kern w:val="44"/>
      <w:sz w:val="36"/>
      <w:szCs w:val="44"/>
    </w:rPr>
  </w:style>
  <w:style w:type="paragraph" w:styleId="6">
    <w:name w:val="heading 2"/>
    <w:basedOn w:val="1"/>
    <w:next w:val="1"/>
    <w:link w:val="20"/>
    <w:unhideWhenUsed/>
    <w:qFormat/>
    <w:uiPriority w:val="0"/>
    <w:pPr>
      <w:keepNext/>
      <w:keepLines/>
      <w:ind w:firstLine="0" w:firstLineChars="0"/>
      <w:outlineLvl w:val="1"/>
    </w:pPr>
    <w:rPr>
      <w:rFonts w:eastAsia="宋体" w:cs="Times New Roman"/>
      <w:b/>
      <w:bCs/>
      <w:sz w:val="28"/>
      <w:szCs w:val="32"/>
    </w:rPr>
  </w:style>
  <w:style w:type="paragraph" w:styleId="7">
    <w:name w:val="heading 3"/>
    <w:basedOn w:val="1"/>
    <w:next w:val="1"/>
    <w:link w:val="21"/>
    <w:unhideWhenUsed/>
    <w:qFormat/>
    <w:uiPriority w:val="0"/>
    <w:pPr>
      <w:keepNext/>
      <w:keepLines/>
      <w:ind w:firstLine="0" w:firstLineChars="0"/>
      <w:outlineLvl w:val="2"/>
    </w:pPr>
    <w:rPr>
      <w:rFonts w:ascii="Times New Roman" w:hAnsi="Times New Roman" w:eastAsia="宋体" w:cs="Times New Roman"/>
      <w:b/>
      <w:bCs/>
      <w:szCs w:val="32"/>
    </w:rPr>
  </w:style>
  <w:style w:type="paragraph" w:styleId="8">
    <w:name w:val="heading 4"/>
    <w:basedOn w:val="1"/>
    <w:next w:val="1"/>
    <w:link w:val="18"/>
    <w:unhideWhenUsed/>
    <w:qFormat/>
    <w:uiPriority w:val="0"/>
    <w:pPr>
      <w:keepNext/>
      <w:keepLines/>
      <w:spacing w:line="360" w:lineRule="auto"/>
      <w:ind w:firstLine="0" w:firstLineChars="0"/>
      <w:outlineLvl w:val="3"/>
    </w:pPr>
    <w:rPr>
      <w:rFonts w:ascii="Times New Roman" w:hAnsi="Times New Roman" w:eastAsia="宋体" w:cs="Times New Roman"/>
      <w:bCs/>
      <w:kern w:val="2"/>
      <w:szCs w:val="28"/>
    </w:rPr>
  </w:style>
  <w:style w:type="paragraph" w:styleId="9">
    <w:name w:val="heading 6"/>
    <w:basedOn w:val="1"/>
    <w:next w:val="1"/>
    <w:unhideWhenUsed/>
    <w:qFormat/>
    <w:uiPriority w:val="0"/>
    <w:pPr>
      <w:keepNext/>
      <w:keepLines/>
      <w:spacing w:line="360" w:lineRule="auto"/>
      <w:ind w:firstLine="0" w:firstLineChars="0"/>
      <w:jc w:val="center"/>
      <w:outlineLvl w:val="5"/>
    </w:pPr>
    <w:rPr>
      <w:rFonts w:ascii="Times New Roman" w:hAnsi="Times New Roman" w:eastAsia="宋体" w:cs="Times New Roman"/>
      <w:b/>
      <w:bCs/>
      <w:kern w:val="2"/>
    </w:rPr>
  </w:style>
  <w:style w:type="character" w:default="1" w:styleId="17">
    <w:name w:val="Default Paragraph Font"/>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unhideWhenUsed/>
    <w:qFormat/>
    <w:uiPriority w:val="99"/>
    <w:pPr>
      <w:spacing w:before="120" w:line="360" w:lineRule="atLeast"/>
      <w:ind w:firstLine="539"/>
    </w:pPr>
    <w:rPr>
      <w:sz w:val="24"/>
    </w:rPr>
  </w:style>
  <w:style w:type="paragraph" w:styleId="4">
    <w:name w:val="envelope return"/>
    <w:basedOn w:val="1"/>
    <w:unhideWhenUsed/>
    <w:qFormat/>
    <w:uiPriority w:val="99"/>
    <w:pPr>
      <w:snapToGrid w:val="0"/>
      <w:ind w:firstLine="723"/>
      <w:jc w:val="left"/>
    </w:pPr>
    <w:rPr>
      <w:rFonts w:ascii="Arial" w:hAnsi="Arial" w:cs="宋体"/>
    </w:rPr>
  </w:style>
  <w:style w:type="paragraph" w:styleId="10">
    <w:name w:val="Normal Indent"/>
    <w:basedOn w:val="1"/>
    <w:next w:val="2"/>
    <w:qFormat/>
    <w:uiPriority w:val="0"/>
    <w:pPr>
      <w:spacing w:line="360" w:lineRule="exact"/>
      <w:ind w:firstLine="420" w:firstLineChars="200"/>
    </w:pPr>
    <w:rPr>
      <w:rFonts w:ascii="Times New Roman" w:hAnsi="Times New Roman" w:cs="Times New Roman"/>
      <w:kern w:val="2"/>
      <w:szCs w:val="20"/>
    </w:rPr>
  </w:style>
  <w:style w:type="paragraph" w:styleId="11">
    <w:name w:val="Plain Text"/>
    <w:basedOn w:val="1"/>
    <w:qFormat/>
    <w:uiPriority w:val="0"/>
    <w:rPr>
      <w:rFonts w:ascii="Times New Roman" w:hAnsi="Times New Roman" w:eastAsia="宋体" w:cs="Courier New"/>
      <w:szCs w:val="21"/>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semiHidden/>
    <w:unhideWhenUsed/>
    <w:qFormat/>
    <w:uiPriority w:val="99"/>
    <w:pPr>
      <w:adjustRightInd/>
      <w:snapToGrid/>
      <w:spacing w:before="0" w:beforeAutospacing="1" w:after="0" w:afterAutospacing="1" w:line="240" w:lineRule="auto"/>
      <w:ind w:left="0" w:right="0" w:firstLine="0" w:firstLineChars="0"/>
      <w:jc w:val="left"/>
    </w:pPr>
    <w:rPr>
      <w:rFonts w:ascii="宋体" w:hAnsi="宋体" w:eastAsia="宋体" w:cs="宋体"/>
      <w:snapToGrid/>
      <w:kern w:val="0"/>
      <w:sz w:val="24"/>
      <w:lang w:val="en-US" w:eastAsia="zh-CN" w:bidi="ar"/>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4 Char2"/>
    <w:basedOn w:val="17"/>
    <w:link w:val="8"/>
    <w:qFormat/>
    <w:uiPriority w:val="9"/>
    <w:rPr>
      <w:rFonts w:ascii="Times New Roman" w:hAnsi="Times New Roman" w:eastAsia="宋体" w:cs="Times New Roman"/>
      <w:bCs/>
      <w:kern w:val="2"/>
      <w:sz w:val="24"/>
      <w:szCs w:val="28"/>
    </w:rPr>
  </w:style>
  <w:style w:type="character" w:customStyle="1" w:styleId="19">
    <w:name w:val="标题 1 Char2"/>
    <w:basedOn w:val="17"/>
    <w:link w:val="5"/>
    <w:qFormat/>
    <w:uiPriority w:val="9"/>
    <w:rPr>
      <w:rFonts w:ascii="Calibri" w:hAnsi="Calibri" w:eastAsia="宋体" w:cs="Times New Roman"/>
      <w:b/>
      <w:bCs/>
      <w:kern w:val="44"/>
      <w:sz w:val="36"/>
      <w:szCs w:val="44"/>
    </w:rPr>
  </w:style>
  <w:style w:type="character" w:customStyle="1" w:styleId="20">
    <w:name w:val="标题 2 Char1"/>
    <w:basedOn w:val="17"/>
    <w:link w:val="6"/>
    <w:qFormat/>
    <w:uiPriority w:val="9"/>
    <w:rPr>
      <w:rFonts w:ascii="Times New Roman" w:hAnsi="Times New Roman" w:eastAsia="宋体" w:cs="Times New Roman"/>
      <w:b/>
      <w:bCs/>
      <w:kern w:val="0"/>
      <w:sz w:val="28"/>
      <w:szCs w:val="32"/>
    </w:rPr>
  </w:style>
  <w:style w:type="character" w:customStyle="1" w:styleId="21">
    <w:name w:val="标题 3 Char1"/>
    <w:basedOn w:val="17"/>
    <w:link w:val="7"/>
    <w:qFormat/>
    <w:uiPriority w:val="9"/>
    <w:rPr>
      <w:rFonts w:ascii="Times New Roman" w:hAnsi="Times New Roman" w:eastAsia="宋体" w:cs="Times New Roman"/>
      <w:b/>
      <w:bCs/>
      <w:kern w:val="0"/>
      <w:sz w:val="24"/>
      <w:szCs w:val="32"/>
    </w:rPr>
  </w:style>
  <w:style w:type="paragraph" w:customStyle="1" w:styleId="22">
    <w:name w:val="表格标题"/>
    <w:basedOn w:val="1"/>
    <w:next w:val="11"/>
    <w:qFormat/>
    <w:uiPriority w:val="0"/>
    <w:pPr>
      <w:tabs>
        <w:tab w:val="center" w:pos="4395"/>
      </w:tabs>
      <w:snapToGrid w:val="0"/>
      <w:ind w:firstLine="0" w:firstLineChars="0"/>
      <w:jc w:val="center"/>
    </w:pPr>
    <w:rPr>
      <w:rFonts w:ascii="Times New Roman" w:hAnsi="Times New Roman" w:eastAsia="宋体"/>
      <w:b/>
      <w:sz w:val="24"/>
      <w:szCs w:val="24"/>
    </w:rPr>
  </w:style>
  <w:style w:type="paragraph" w:customStyle="1" w:styleId="23">
    <w:name w:val="表格"/>
    <w:basedOn w:val="11"/>
    <w:next w:val="1"/>
    <w:link w:val="24"/>
    <w:qFormat/>
    <w:uiPriority w:val="0"/>
    <w:pPr>
      <w:adjustRightInd w:val="0"/>
      <w:snapToGrid w:val="0"/>
      <w:spacing w:line="240" w:lineRule="auto"/>
      <w:ind w:firstLine="0" w:firstLineChars="0"/>
      <w:jc w:val="center"/>
    </w:pPr>
    <w:rPr>
      <w:rFonts w:ascii="Times New Roman" w:hAnsi="Times New Roman" w:eastAsia="宋体" w:cs="Times New Roman"/>
      <w:kern w:val="0"/>
      <w:sz w:val="21"/>
      <w:szCs w:val="20"/>
    </w:rPr>
  </w:style>
  <w:style w:type="character" w:customStyle="1" w:styleId="24">
    <w:name w:val="表格 Char"/>
    <w:link w:val="23"/>
    <w:qFormat/>
    <w:uiPriority w:val="0"/>
    <w:rPr>
      <w:rFonts w:ascii="Times New Roman" w:hAnsi="Times New Roman" w:eastAsia="宋体" w:cs="Times New Roman"/>
      <w:kern w:val="0"/>
      <w:sz w:val="21"/>
    </w:rPr>
  </w:style>
  <w:style w:type="paragraph" w:customStyle="1" w:styleId="25">
    <w:name w:val="图表标题"/>
    <w:basedOn w:val="1"/>
    <w:qFormat/>
    <w:uiPriority w:val="0"/>
    <w:pPr>
      <w:ind w:firstLine="0" w:firstLineChars="0"/>
      <w:jc w:val="center"/>
    </w:pPr>
    <w:rPr>
      <w:b/>
      <w:bCs/>
      <w:snapToGrid w:val="0"/>
    </w:rPr>
  </w:style>
  <w:style w:type="paragraph" w:customStyle="1" w:styleId="26">
    <w:name w:val="表格正文"/>
    <w:basedOn w:val="10"/>
    <w:qFormat/>
    <w:uiPriority w:val="0"/>
    <w:pPr>
      <w:autoSpaceDE w:val="0"/>
      <w:autoSpaceDN w:val="0"/>
      <w:spacing w:line="240" w:lineRule="auto"/>
      <w:ind w:firstLine="0" w:firstLineChars="0"/>
      <w:jc w:val="center"/>
      <w:textAlignment w:val="bottom"/>
    </w:pPr>
    <w:rPr>
      <w:rFonts w:ascii="Times New Roman" w:hAnsi="Times New Roman"/>
      <w:kern w:val="0"/>
      <w:sz w:val="21"/>
    </w:rPr>
  </w:style>
  <w:style w:type="paragraph" w:customStyle="1" w:styleId="27">
    <w:name w:val="A标准格式"/>
    <w:basedOn w:val="1"/>
    <w:qFormat/>
    <w:uiPriority w:val="99"/>
    <w:pPr>
      <w:widowControl w:val="0"/>
      <w:spacing w:line="440" w:lineRule="exact"/>
      <w:ind w:firstLine="480"/>
      <w:jc w:val="both"/>
    </w:pPr>
    <w:rPr>
      <w:rFonts w:ascii="Calibri" w:hAnsi="Calibri" w:eastAsia="宋体" w:cs="Times New Roman"/>
      <w:kern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6124</Words>
  <Characters>6578</Characters>
  <Lines>0</Lines>
  <Paragraphs>0</Paragraphs>
  <TotalTime>3</TotalTime>
  <ScaleCrop>false</ScaleCrop>
  <LinksUpToDate>false</LinksUpToDate>
  <CharactersWithSpaces>6588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2023-11-10T00:43:00Z</dcterms:created>
  <dc:creator>杨</dc:creator>
  <cp:lastModifiedBy>孤旅浪人</cp:lastModifiedBy>
  <dcterms:modified xsi:type="dcterms:W3CDTF">2025-05-14T09:27:10Z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B79482565A734F6A88E523C214BA0AED_13</vt:lpwstr>
  </property>
  <property fmtid="{D5CDD505-2E9C-101B-9397-08002B2CF9AE}" pid="4" name="KSOTemplateDocerSaveRecord">
    <vt:lpwstr>eyJoZGlkIjoiMmUwZmJkYzljY2UzZGI5ZmY5Y2RkZjBmNjI2YzJhNjIiLCJ1c2VySWQiOiI0NTU5MTAzMTIifQ==</vt:lpwstr>
  </property>
</Properties>
</file>